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ascii="黑体" w:hAnsi="黑体" w:eastAsia="黑体" w:cs="宋体"/>
          <w:sz w:val="32"/>
          <w:szCs w:val="32"/>
        </w:rPr>
      </w:pPr>
      <w:r>
        <w:rPr>
          <w:rFonts w:hint="eastAsia" w:ascii="黑体" w:hAnsi="黑体" w:eastAsia="黑体" w:cs="宋体"/>
          <w:sz w:val="32"/>
          <w:szCs w:val="32"/>
        </w:rPr>
        <w:t>附件</w:t>
      </w:r>
      <w:r>
        <w:rPr>
          <w:rFonts w:ascii="Times New Roman" w:hAnsi="Times New Roman" w:eastAsia="黑体"/>
          <w:sz w:val="32"/>
          <w:szCs w:val="32"/>
        </w:rPr>
        <w:t>1</w:t>
      </w:r>
    </w:p>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202</w:t>
      </w:r>
      <w:r>
        <w:rPr>
          <w:rFonts w:ascii="Times New Roman" w:hAnsi="Times New Roman" w:eastAsia="方正小标宋简体"/>
          <w:sz w:val="44"/>
          <w:szCs w:val="44"/>
        </w:rPr>
        <w:t>1</w:t>
      </w:r>
      <w:r>
        <w:rPr>
          <w:rFonts w:hint="eastAsia" w:ascii="Times New Roman" w:hAnsi="Times New Roman" w:eastAsia="方正小标宋简体"/>
          <w:sz w:val="44"/>
          <w:szCs w:val="44"/>
        </w:rPr>
        <w:t>年度国家级资质认定检验检测机构自查表</w:t>
      </w:r>
    </w:p>
    <w:tbl>
      <w:tblPr>
        <w:tblStyle w:val="6"/>
        <w:tblW w:w="14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18"/>
        <w:gridCol w:w="1084"/>
        <w:gridCol w:w="2807"/>
        <w:gridCol w:w="1366"/>
        <w:gridCol w:w="1638"/>
        <w:gridCol w:w="1055"/>
        <w:gridCol w:w="1418"/>
        <w:gridCol w:w="1276"/>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54" w:type="dxa"/>
            <w:vMerge w:val="restart"/>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基本信息</w:t>
            </w:r>
          </w:p>
        </w:tc>
        <w:tc>
          <w:tcPr>
            <w:tcW w:w="2502" w:type="dxa"/>
            <w:gridSpan w:val="2"/>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法人单位名称</w:t>
            </w:r>
          </w:p>
          <w:p>
            <w:pPr>
              <w:spacing w:line="400" w:lineRule="exact"/>
              <w:jc w:val="center"/>
              <w:rPr>
                <w:rFonts w:ascii="Times New Roman" w:hAnsi="Times New Roman" w:eastAsia="仿宋_GB2312"/>
                <w:szCs w:val="21"/>
              </w:rPr>
            </w:pPr>
            <w:r>
              <w:rPr>
                <w:rFonts w:hint="eastAsia" w:ascii="Times New Roman" w:hAnsi="Times New Roman" w:eastAsia="仿宋_GB2312"/>
                <w:szCs w:val="21"/>
              </w:rPr>
              <w:t>（必须与营业执照</w:t>
            </w:r>
          </w:p>
          <w:p>
            <w:pPr>
              <w:spacing w:line="400" w:lineRule="exact"/>
              <w:jc w:val="center"/>
              <w:rPr>
                <w:rFonts w:ascii="Times New Roman" w:hAnsi="Times New Roman" w:eastAsia="仿宋_GB2312"/>
                <w:sz w:val="24"/>
                <w:szCs w:val="24"/>
              </w:rPr>
            </w:pPr>
            <w:r>
              <w:rPr>
                <w:rFonts w:hint="eastAsia" w:ascii="Times New Roman" w:hAnsi="Times New Roman" w:eastAsia="仿宋_GB2312"/>
                <w:szCs w:val="21"/>
              </w:rPr>
              <w:t>或法人证书一致）</w:t>
            </w:r>
          </w:p>
        </w:tc>
        <w:tc>
          <w:tcPr>
            <w:tcW w:w="2807" w:type="dxa"/>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单位地址</w:t>
            </w:r>
          </w:p>
        </w:tc>
        <w:tc>
          <w:tcPr>
            <w:tcW w:w="3004" w:type="dxa"/>
            <w:gridSpan w:val="2"/>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组织机构代码</w:t>
            </w:r>
          </w:p>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/社会信用代码</w:t>
            </w:r>
          </w:p>
        </w:tc>
        <w:tc>
          <w:tcPr>
            <w:tcW w:w="1055" w:type="dxa"/>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法定</w:t>
            </w:r>
          </w:p>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代表人</w:t>
            </w:r>
          </w:p>
        </w:tc>
        <w:tc>
          <w:tcPr>
            <w:tcW w:w="1418" w:type="dxa"/>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法定代表人</w:t>
            </w:r>
          </w:p>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联系电话</w:t>
            </w:r>
          </w:p>
        </w:tc>
        <w:tc>
          <w:tcPr>
            <w:tcW w:w="1276" w:type="dxa"/>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联系人</w:t>
            </w:r>
          </w:p>
        </w:tc>
        <w:tc>
          <w:tcPr>
            <w:tcW w:w="1359" w:type="dxa"/>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54" w:type="dxa"/>
            <w:vMerge w:val="continue"/>
            <w:vAlign w:val="center"/>
          </w:tcPr>
          <w:p>
            <w:pPr>
              <w:spacing w:line="400" w:lineRule="exact"/>
              <w:jc w:val="center"/>
              <w:rPr>
                <w:rFonts w:ascii="Times New Roman" w:hAnsi="Times New Roman" w:eastAsia="仿宋_GB2312"/>
                <w:sz w:val="24"/>
                <w:szCs w:val="24"/>
              </w:rPr>
            </w:pPr>
          </w:p>
        </w:tc>
        <w:tc>
          <w:tcPr>
            <w:tcW w:w="2502" w:type="dxa"/>
            <w:gridSpan w:val="2"/>
            <w:vAlign w:val="center"/>
          </w:tcPr>
          <w:p>
            <w:pPr>
              <w:spacing w:line="400" w:lineRule="exact"/>
              <w:jc w:val="center"/>
              <w:rPr>
                <w:rFonts w:ascii="Times New Roman" w:hAnsi="Times New Roman" w:eastAsia="仿宋_GB2312"/>
                <w:sz w:val="24"/>
                <w:szCs w:val="24"/>
              </w:rPr>
            </w:pPr>
          </w:p>
        </w:tc>
        <w:tc>
          <w:tcPr>
            <w:tcW w:w="2807" w:type="dxa"/>
            <w:vAlign w:val="center"/>
          </w:tcPr>
          <w:p>
            <w:pPr>
              <w:spacing w:line="400" w:lineRule="exact"/>
              <w:jc w:val="center"/>
              <w:rPr>
                <w:rFonts w:ascii="Times New Roman" w:hAnsi="Times New Roman" w:eastAsia="仿宋_GB2312"/>
                <w:sz w:val="24"/>
                <w:szCs w:val="24"/>
              </w:rPr>
            </w:pPr>
          </w:p>
        </w:tc>
        <w:tc>
          <w:tcPr>
            <w:tcW w:w="3004" w:type="dxa"/>
            <w:gridSpan w:val="2"/>
            <w:vAlign w:val="center"/>
          </w:tcPr>
          <w:p>
            <w:pPr>
              <w:spacing w:line="400" w:lineRule="exact"/>
              <w:jc w:val="center"/>
              <w:rPr>
                <w:rFonts w:ascii="Times New Roman" w:hAnsi="Times New Roman" w:eastAsia="仿宋_GB2312"/>
                <w:sz w:val="24"/>
                <w:szCs w:val="24"/>
              </w:rPr>
            </w:pPr>
          </w:p>
        </w:tc>
        <w:tc>
          <w:tcPr>
            <w:tcW w:w="1055" w:type="dxa"/>
            <w:vAlign w:val="center"/>
          </w:tcPr>
          <w:p>
            <w:pPr>
              <w:spacing w:line="400" w:lineRule="exact"/>
              <w:jc w:val="center"/>
              <w:rPr>
                <w:rFonts w:ascii="Times New Roman" w:hAnsi="Times New Roman" w:eastAsia="仿宋_GB2312"/>
                <w:sz w:val="24"/>
                <w:szCs w:val="24"/>
              </w:rPr>
            </w:pPr>
          </w:p>
        </w:tc>
        <w:tc>
          <w:tcPr>
            <w:tcW w:w="1418" w:type="dxa"/>
            <w:vAlign w:val="center"/>
          </w:tcPr>
          <w:p>
            <w:pPr>
              <w:spacing w:line="400" w:lineRule="exact"/>
              <w:jc w:val="center"/>
              <w:rPr>
                <w:rFonts w:ascii="Times New Roman" w:hAnsi="Times New Roman" w:eastAsia="仿宋_GB2312"/>
                <w:sz w:val="24"/>
                <w:szCs w:val="24"/>
              </w:rPr>
            </w:pPr>
          </w:p>
        </w:tc>
        <w:tc>
          <w:tcPr>
            <w:tcW w:w="1276" w:type="dxa"/>
            <w:vAlign w:val="center"/>
          </w:tcPr>
          <w:p>
            <w:pPr>
              <w:spacing w:line="400" w:lineRule="exact"/>
              <w:jc w:val="center"/>
              <w:rPr>
                <w:rFonts w:ascii="Times New Roman" w:hAnsi="Times New Roman" w:eastAsia="仿宋_GB2312"/>
                <w:sz w:val="24"/>
                <w:szCs w:val="24"/>
              </w:rPr>
            </w:pPr>
          </w:p>
        </w:tc>
        <w:tc>
          <w:tcPr>
            <w:tcW w:w="1359" w:type="dxa"/>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4" w:type="dxa"/>
            <w:vMerge w:val="restart"/>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取得资质认定的情况</w:t>
            </w:r>
          </w:p>
        </w:tc>
        <w:tc>
          <w:tcPr>
            <w:tcW w:w="1418" w:type="dxa"/>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被授权机构</w:t>
            </w:r>
          </w:p>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名称</w:t>
            </w:r>
          </w:p>
        </w:tc>
        <w:tc>
          <w:tcPr>
            <w:tcW w:w="1084" w:type="dxa"/>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证书</w:t>
            </w:r>
          </w:p>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编号</w:t>
            </w:r>
          </w:p>
        </w:tc>
        <w:tc>
          <w:tcPr>
            <w:tcW w:w="2807" w:type="dxa"/>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发证机关</w:t>
            </w:r>
          </w:p>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名称</w:t>
            </w:r>
          </w:p>
        </w:tc>
        <w:tc>
          <w:tcPr>
            <w:tcW w:w="1366" w:type="dxa"/>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批准</w:t>
            </w:r>
          </w:p>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日期</w:t>
            </w:r>
          </w:p>
        </w:tc>
        <w:tc>
          <w:tcPr>
            <w:tcW w:w="1638" w:type="dxa"/>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有效</w:t>
            </w:r>
          </w:p>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日期</w:t>
            </w:r>
          </w:p>
        </w:tc>
        <w:tc>
          <w:tcPr>
            <w:tcW w:w="1055" w:type="dxa"/>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最高</w:t>
            </w:r>
          </w:p>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管理者</w:t>
            </w:r>
          </w:p>
        </w:tc>
        <w:tc>
          <w:tcPr>
            <w:tcW w:w="1418" w:type="dxa"/>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最高管理者</w:t>
            </w:r>
          </w:p>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联系电话</w:t>
            </w:r>
          </w:p>
        </w:tc>
        <w:tc>
          <w:tcPr>
            <w:tcW w:w="1276" w:type="dxa"/>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技术</w:t>
            </w:r>
          </w:p>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负责人</w:t>
            </w:r>
          </w:p>
        </w:tc>
        <w:tc>
          <w:tcPr>
            <w:tcW w:w="1359" w:type="dxa"/>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授权</w:t>
            </w:r>
          </w:p>
          <w:p>
            <w:pPr>
              <w:spacing w:line="400" w:lineRule="exact"/>
              <w:jc w:val="center"/>
              <w:rPr>
                <w:rFonts w:ascii="Times New Roman" w:hAnsi="Times New Roman" w:eastAsia="黑体"/>
                <w:szCs w:val="21"/>
              </w:rPr>
            </w:pPr>
            <w:r>
              <w:rPr>
                <w:rFonts w:hint="eastAsia" w:ascii="Times New Roman" w:hAnsi="Times New Roman" w:eastAsia="黑体"/>
                <w:sz w:val="24"/>
                <w:szCs w:val="24"/>
              </w:rPr>
              <w:t>签字人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4" w:type="dxa"/>
            <w:vMerge w:val="continue"/>
            <w:vAlign w:val="center"/>
          </w:tcPr>
          <w:p>
            <w:pPr>
              <w:spacing w:line="400" w:lineRule="exact"/>
              <w:jc w:val="center"/>
              <w:rPr>
                <w:rFonts w:ascii="Times New Roman" w:hAnsi="Times New Roman" w:eastAsia="仿宋_GB2312"/>
                <w:sz w:val="24"/>
                <w:szCs w:val="24"/>
              </w:rPr>
            </w:pPr>
          </w:p>
        </w:tc>
        <w:tc>
          <w:tcPr>
            <w:tcW w:w="1418" w:type="dxa"/>
            <w:vAlign w:val="center"/>
          </w:tcPr>
          <w:p>
            <w:pPr>
              <w:spacing w:line="400" w:lineRule="exact"/>
              <w:jc w:val="center"/>
              <w:rPr>
                <w:rFonts w:ascii="Times New Roman" w:hAnsi="Times New Roman" w:eastAsia="仿宋_GB2312"/>
                <w:sz w:val="24"/>
                <w:szCs w:val="24"/>
              </w:rPr>
            </w:pPr>
          </w:p>
        </w:tc>
        <w:tc>
          <w:tcPr>
            <w:tcW w:w="1084" w:type="dxa"/>
            <w:vAlign w:val="center"/>
          </w:tcPr>
          <w:p>
            <w:pPr>
              <w:spacing w:line="400" w:lineRule="exact"/>
              <w:jc w:val="center"/>
              <w:rPr>
                <w:rFonts w:ascii="Times New Roman" w:hAnsi="Times New Roman" w:eastAsia="仿宋_GB2312"/>
                <w:sz w:val="24"/>
                <w:szCs w:val="24"/>
              </w:rPr>
            </w:pPr>
          </w:p>
        </w:tc>
        <w:tc>
          <w:tcPr>
            <w:tcW w:w="2807" w:type="dxa"/>
            <w:vAlign w:val="center"/>
          </w:tcPr>
          <w:p>
            <w:pPr>
              <w:spacing w:line="400" w:lineRule="exact"/>
              <w:jc w:val="center"/>
              <w:rPr>
                <w:rFonts w:ascii="Times New Roman" w:hAnsi="Times New Roman" w:eastAsia="仿宋_GB2312"/>
                <w:sz w:val="24"/>
                <w:szCs w:val="24"/>
              </w:rPr>
            </w:pPr>
          </w:p>
        </w:tc>
        <w:tc>
          <w:tcPr>
            <w:tcW w:w="1366" w:type="dxa"/>
            <w:vAlign w:val="center"/>
          </w:tcPr>
          <w:p>
            <w:pPr>
              <w:spacing w:line="400" w:lineRule="exact"/>
              <w:jc w:val="center"/>
              <w:rPr>
                <w:rFonts w:ascii="Times New Roman" w:hAnsi="Times New Roman" w:eastAsia="仿宋_GB2312"/>
                <w:sz w:val="24"/>
                <w:szCs w:val="24"/>
              </w:rPr>
            </w:pPr>
          </w:p>
        </w:tc>
        <w:tc>
          <w:tcPr>
            <w:tcW w:w="1638" w:type="dxa"/>
            <w:vAlign w:val="center"/>
          </w:tcPr>
          <w:p>
            <w:pPr>
              <w:spacing w:line="400" w:lineRule="exact"/>
              <w:jc w:val="center"/>
              <w:rPr>
                <w:rFonts w:ascii="Times New Roman" w:hAnsi="Times New Roman" w:eastAsia="仿宋_GB2312"/>
                <w:sz w:val="24"/>
                <w:szCs w:val="24"/>
              </w:rPr>
            </w:pPr>
          </w:p>
        </w:tc>
        <w:tc>
          <w:tcPr>
            <w:tcW w:w="1055" w:type="dxa"/>
            <w:vAlign w:val="center"/>
          </w:tcPr>
          <w:p>
            <w:pPr>
              <w:spacing w:line="400" w:lineRule="exact"/>
              <w:jc w:val="center"/>
              <w:rPr>
                <w:rFonts w:ascii="Times New Roman" w:hAnsi="Times New Roman" w:eastAsia="仿宋_GB2312"/>
                <w:sz w:val="24"/>
                <w:szCs w:val="24"/>
              </w:rPr>
            </w:pPr>
          </w:p>
        </w:tc>
        <w:tc>
          <w:tcPr>
            <w:tcW w:w="1418" w:type="dxa"/>
            <w:vAlign w:val="center"/>
          </w:tcPr>
          <w:p>
            <w:pPr>
              <w:spacing w:line="400" w:lineRule="exact"/>
              <w:jc w:val="center"/>
              <w:rPr>
                <w:rFonts w:ascii="Times New Roman" w:hAnsi="Times New Roman" w:eastAsia="仿宋_GB2312"/>
                <w:sz w:val="24"/>
                <w:szCs w:val="24"/>
              </w:rPr>
            </w:pPr>
          </w:p>
        </w:tc>
        <w:tc>
          <w:tcPr>
            <w:tcW w:w="1276" w:type="dxa"/>
            <w:vAlign w:val="center"/>
          </w:tcPr>
          <w:p>
            <w:pPr>
              <w:spacing w:line="400" w:lineRule="exact"/>
              <w:jc w:val="center"/>
              <w:rPr>
                <w:rFonts w:ascii="Times New Roman" w:hAnsi="Times New Roman" w:eastAsia="仿宋_GB2312"/>
                <w:sz w:val="24"/>
                <w:szCs w:val="24"/>
              </w:rPr>
            </w:pPr>
          </w:p>
        </w:tc>
        <w:tc>
          <w:tcPr>
            <w:tcW w:w="1359" w:type="dxa"/>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4" w:type="dxa"/>
            <w:vMerge w:val="continue"/>
            <w:vAlign w:val="center"/>
          </w:tcPr>
          <w:p>
            <w:pPr>
              <w:spacing w:line="400" w:lineRule="exact"/>
              <w:jc w:val="center"/>
              <w:rPr>
                <w:rFonts w:ascii="Times New Roman" w:hAnsi="Times New Roman" w:eastAsia="仿宋_GB2312"/>
                <w:sz w:val="24"/>
                <w:szCs w:val="24"/>
              </w:rPr>
            </w:pPr>
          </w:p>
        </w:tc>
        <w:tc>
          <w:tcPr>
            <w:tcW w:w="1418" w:type="dxa"/>
            <w:vAlign w:val="center"/>
          </w:tcPr>
          <w:p>
            <w:pPr>
              <w:spacing w:line="400" w:lineRule="exact"/>
              <w:jc w:val="center"/>
              <w:rPr>
                <w:rFonts w:ascii="Times New Roman" w:hAnsi="Times New Roman" w:eastAsia="仿宋_GB2312"/>
                <w:sz w:val="24"/>
                <w:szCs w:val="24"/>
              </w:rPr>
            </w:pPr>
          </w:p>
        </w:tc>
        <w:tc>
          <w:tcPr>
            <w:tcW w:w="1084" w:type="dxa"/>
            <w:vAlign w:val="center"/>
          </w:tcPr>
          <w:p>
            <w:pPr>
              <w:spacing w:line="400" w:lineRule="exact"/>
              <w:jc w:val="center"/>
              <w:rPr>
                <w:rFonts w:ascii="Times New Roman" w:hAnsi="Times New Roman" w:eastAsia="仿宋_GB2312"/>
                <w:sz w:val="24"/>
                <w:szCs w:val="24"/>
              </w:rPr>
            </w:pPr>
          </w:p>
        </w:tc>
        <w:tc>
          <w:tcPr>
            <w:tcW w:w="2807" w:type="dxa"/>
            <w:vAlign w:val="center"/>
          </w:tcPr>
          <w:p>
            <w:pPr>
              <w:spacing w:line="400" w:lineRule="exact"/>
              <w:jc w:val="center"/>
              <w:rPr>
                <w:rFonts w:ascii="Times New Roman" w:hAnsi="Times New Roman" w:eastAsia="仿宋_GB2312"/>
                <w:sz w:val="24"/>
                <w:szCs w:val="24"/>
              </w:rPr>
            </w:pPr>
          </w:p>
        </w:tc>
        <w:tc>
          <w:tcPr>
            <w:tcW w:w="1366" w:type="dxa"/>
            <w:vAlign w:val="center"/>
          </w:tcPr>
          <w:p>
            <w:pPr>
              <w:spacing w:line="400" w:lineRule="exact"/>
              <w:jc w:val="center"/>
              <w:rPr>
                <w:rFonts w:ascii="Times New Roman" w:hAnsi="Times New Roman" w:eastAsia="仿宋_GB2312"/>
                <w:sz w:val="24"/>
                <w:szCs w:val="24"/>
              </w:rPr>
            </w:pPr>
          </w:p>
        </w:tc>
        <w:tc>
          <w:tcPr>
            <w:tcW w:w="1638" w:type="dxa"/>
            <w:vAlign w:val="center"/>
          </w:tcPr>
          <w:p>
            <w:pPr>
              <w:spacing w:line="400" w:lineRule="exact"/>
              <w:jc w:val="center"/>
              <w:rPr>
                <w:rFonts w:ascii="Times New Roman" w:hAnsi="Times New Roman" w:eastAsia="仿宋_GB2312"/>
                <w:sz w:val="24"/>
                <w:szCs w:val="24"/>
              </w:rPr>
            </w:pPr>
          </w:p>
        </w:tc>
        <w:tc>
          <w:tcPr>
            <w:tcW w:w="1055" w:type="dxa"/>
            <w:vAlign w:val="center"/>
          </w:tcPr>
          <w:p>
            <w:pPr>
              <w:spacing w:line="400" w:lineRule="exact"/>
              <w:jc w:val="center"/>
              <w:rPr>
                <w:rFonts w:ascii="Times New Roman" w:hAnsi="Times New Roman" w:eastAsia="仿宋_GB2312"/>
                <w:sz w:val="24"/>
                <w:szCs w:val="24"/>
              </w:rPr>
            </w:pPr>
          </w:p>
        </w:tc>
        <w:tc>
          <w:tcPr>
            <w:tcW w:w="1418" w:type="dxa"/>
            <w:vAlign w:val="center"/>
          </w:tcPr>
          <w:p>
            <w:pPr>
              <w:spacing w:line="400" w:lineRule="exact"/>
              <w:jc w:val="center"/>
              <w:rPr>
                <w:rFonts w:ascii="Times New Roman" w:hAnsi="Times New Roman" w:eastAsia="仿宋_GB2312"/>
                <w:sz w:val="24"/>
                <w:szCs w:val="24"/>
              </w:rPr>
            </w:pPr>
          </w:p>
        </w:tc>
        <w:tc>
          <w:tcPr>
            <w:tcW w:w="1276" w:type="dxa"/>
            <w:vAlign w:val="center"/>
          </w:tcPr>
          <w:p>
            <w:pPr>
              <w:spacing w:line="400" w:lineRule="exact"/>
              <w:jc w:val="center"/>
              <w:rPr>
                <w:rFonts w:ascii="Times New Roman" w:hAnsi="Times New Roman" w:eastAsia="仿宋_GB2312"/>
                <w:sz w:val="24"/>
                <w:szCs w:val="24"/>
              </w:rPr>
            </w:pPr>
          </w:p>
        </w:tc>
        <w:tc>
          <w:tcPr>
            <w:tcW w:w="1359" w:type="dxa"/>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54" w:type="dxa"/>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序号</w:t>
            </w:r>
          </w:p>
        </w:tc>
        <w:tc>
          <w:tcPr>
            <w:tcW w:w="2502" w:type="dxa"/>
            <w:gridSpan w:val="2"/>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自查内容</w:t>
            </w:r>
          </w:p>
        </w:tc>
        <w:tc>
          <w:tcPr>
            <w:tcW w:w="5811" w:type="dxa"/>
            <w:gridSpan w:val="3"/>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检查方法及证明材料要求</w:t>
            </w:r>
          </w:p>
        </w:tc>
        <w:tc>
          <w:tcPr>
            <w:tcW w:w="2473" w:type="dxa"/>
            <w:gridSpan w:val="2"/>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是否发现问题</w:t>
            </w:r>
          </w:p>
          <w:p>
            <w:pPr>
              <w:spacing w:line="400" w:lineRule="exact"/>
              <w:jc w:val="center"/>
              <w:rPr>
                <w:rFonts w:ascii="Times New Roman" w:hAnsi="Times New Roman" w:eastAsia="黑体"/>
                <w:szCs w:val="21"/>
              </w:rPr>
            </w:pPr>
            <w:r>
              <w:rPr>
                <w:rFonts w:hint="eastAsia" w:ascii="Times New Roman" w:hAnsi="Times New Roman" w:eastAsia="仿宋_GB2312"/>
                <w:szCs w:val="21"/>
              </w:rPr>
              <w:t>（选择）</w:t>
            </w:r>
          </w:p>
        </w:tc>
        <w:tc>
          <w:tcPr>
            <w:tcW w:w="2635" w:type="dxa"/>
            <w:gridSpan w:val="2"/>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754" w:type="dxa"/>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1</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机构应为依法成立，能承担相应法律责任的法人单位或其他组织。</w:t>
            </w:r>
          </w:p>
        </w:tc>
        <w:tc>
          <w:tcPr>
            <w:tcW w:w="5811" w:type="dxa"/>
            <w:gridSpan w:val="3"/>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检查法人证书、营业执照或授权文件：</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（1）企业性质的，应取得营业执照；</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（2）事业、机关应取得编办批准的事业单位法人证书；</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（3）社团法人应取得民政部门批准的社团法人证书；</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（4）其他组织应当取得相应管理部门的批准文件；</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（5）非独立法人的，应获得所属法人的授权，有授权文件及不干预检验检测活动的声明（或文件）。</w:t>
            </w:r>
          </w:p>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（6）机构如果已经依法终止，应向市场监管总局申请注销资质认定证书。</w:t>
            </w:r>
          </w:p>
        </w:tc>
        <w:tc>
          <w:tcPr>
            <w:tcW w:w="2473" w:type="dxa"/>
            <w:gridSpan w:val="2"/>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754" w:type="dxa"/>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2</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机构依法设立的异地分支机构，应通过资质认定。</w:t>
            </w:r>
          </w:p>
        </w:tc>
        <w:tc>
          <w:tcPr>
            <w:tcW w:w="5811" w:type="dxa"/>
            <w:gridSpan w:val="3"/>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检验检测机构的异地分支机构应取得资质认定，分场所应纳入资质认定范围。</w:t>
            </w:r>
          </w:p>
        </w:tc>
        <w:tc>
          <w:tcPr>
            <w:tcW w:w="2473" w:type="dxa"/>
            <w:gridSpan w:val="2"/>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4" w:type="dxa"/>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3</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机构应具备独立性、公正性地位。</w:t>
            </w:r>
          </w:p>
        </w:tc>
        <w:tc>
          <w:tcPr>
            <w:tcW w:w="5811" w:type="dxa"/>
            <w:gridSpan w:val="3"/>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（1）机构的业务或经营范围中应包括检验、检测或与之相关的内容。</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（2）如机构还从事检验检测以外的活动，应识别潜在的利益冲突，采取措施确保这些活动不影响其检验检测的独立性、公正性。</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（3）机构的业务或经营范围不应包含所检验检测对象的生产、销售、研发、维修等影响公正性的内容。</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（4）机构的质量手册和程序文件中应有确保检验检测公正性、独立性以及数据、结果和报告真实、客观、准确、完整的规定。</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（5）机构是否存在接受影响公正性的资助或者存在影响公正性的行为，如利用“国家中心”牌子或产品质量监督抽查等政策性业务进行有违公正性的不正当市场竞争情况。</w:t>
            </w:r>
          </w:p>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（6）机构是否在其官方网站或者以其他公开方式对其遵守法定要求、独立公正从业、履行社会责任、严守诚实信用等情况进行自我声明。</w:t>
            </w:r>
          </w:p>
        </w:tc>
        <w:tc>
          <w:tcPr>
            <w:tcW w:w="2473" w:type="dxa"/>
            <w:gridSpan w:val="2"/>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754" w:type="dxa"/>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4</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机构应遵守相关保密规定。</w:t>
            </w:r>
          </w:p>
        </w:tc>
        <w:tc>
          <w:tcPr>
            <w:tcW w:w="5811" w:type="dxa"/>
            <w:gridSpan w:val="3"/>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机构应在其质量手册或程序文件中规定保密措施，保证检验检测活动中获得的国家秘密、商业秘密不外泄（法律法规有规定的除外）。</w:t>
            </w:r>
          </w:p>
        </w:tc>
        <w:tc>
          <w:tcPr>
            <w:tcW w:w="2473" w:type="dxa"/>
            <w:gridSpan w:val="2"/>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5</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在资质认定证书的能力范围内从事检验检测活动。</w:t>
            </w:r>
          </w:p>
        </w:tc>
        <w:tc>
          <w:tcPr>
            <w:tcW w:w="5811" w:type="dxa"/>
            <w:gridSpan w:val="3"/>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（1）机构应当按照资质认定能力附表范围内的检验检测标准、方法和项目参数等开展检验检测工作。检查是否存在超出资质认定证书规定能力范围出具检验检测报告的情况。</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（2）资质认定证书被撤销、注销或吊销，不得继续为社会出具具有证明作用的数据或者结果。</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（3）机构应在资质认定证书授权时间范围内开展检验检测工作。</w:t>
            </w:r>
          </w:p>
        </w:tc>
        <w:tc>
          <w:tcPr>
            <w:tcW w:w="2473" w:type="dxa"/>
            <w:gridSpan w:val="2"/>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6</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检验检测过程规范要求。</w:t>
            </w:r>
          </w:p>
        </w:tc>
        <w:tc>
          <w:tcPr>
            <w:tcW w:w="5811" w:type="dxa"/>
            <w:gridSpan w:val="3"/>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（1）机构及其人员是否违反国家有关强制性规定的样品管理、仪器设备管理与使用、检验检测规程或者方法、数据传输与保存等要求进行检验检测；</w:t>
            </w:r>
          </w:p>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（2）对不涉及国家有关强制性规定的检验检测规程或者方法，检查是否与委托人作出约定。</w:t>
            </w:r>
          </w:p>
        </w:tc>
        <w:tc>
          <w:tcPr>
            <w:tcW w:w="2473" w:type="dxa"/>
            <w:gridSpan w:val="2"/>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754" w:type="dxa"/>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7</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人员管理要求。</w:t>
            </w:r>
          </w:p>
        </w:tc>
        <w:tc>
          <w:tcPr>
            <w:tcW w:w="5811" w:type="dxa"/>
            <w:gridSpan w:val="3"/>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（1）检验检测人员不得同时在两家以上检验检测机构从业。</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检验检测人员具备必要的技能、知识和培训经历，满足相关岗位要求；授权签字人具有满足规定要求的技术能力。法律法规对检验检测从业人员有执业资格规定或者禁止从事检验检测活动规定的，依照其规定。</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（3）非授权签字人不得签发报告，授权签字人在其授权领域范围内签发报告。</w:t>
            </w:r>
          </w:p>
        </w:tc>
        <w:tc>
          <w:tcPr>
            <w:tcW w:w="2473" w:type="dxa"/>
            <w:gridSpan w:val="2"/>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jc w:val="center"/>
        </w:trPr>
        <w:tc>
          <w:tcPr>
            <w:tcW w:w="754" w:type="dxa"/>
            <w:vAlign w:val="center"/>
          </w:tcPr>
          <w:p>
            <w:pPr>
              <w:spacing w:line="400" w:lineRule="exact"/>
              <w:jc w:val="center"/>
              <w:rPr>
                <w:rFonts w:ascii="Times New Roman" w:hAnsi="Times New Roman" w:eastAsia="仿宋_GB2312"/>
                <w:sz w:val="24"/>
                <w:szCs w:val="24"/>
              </w:rPr>
            </w:pPr>
            <w:r>
              <w:rPr>
                <w:rFonts w:ascii="Times New Roman" w:hAnsi="Times New Roman" w:eastAsia="仿宋_GB2312"/>
                <w:sz w:val="24"/>
                <w:szCs w:val="24"/>
              </w:rPr>
              <w:t>8</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数据和信息管理要求。</w:t>
            </w:r>
          </w:p>
        </w:tc>
        <w:tc>
          <w:tcPr>
            <w:tcW w:w="5811" w:type="dxa"/>
            <w:gridSpan w:val="3"/>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机构应当对检验检测活动的原始记录和报告归档留存，保证其具有可追溯性。原始记录和报告的保存期限应不少于6年。法律、法规有专门规定的，依照其规定。</w:t>
            </w:r>
          </w:p>
        </w:tc>
        <w:tc>
          <w:tcPr>
            <w:tcW w:w="2473" w:type="dxa"/>
            <w:gridSpan w:val="2"/>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754" w:type="dxa"/>
            <w:vAlign w:val="center"/>
          </w:tcPr>
          <w:p>
            <w:pPr>
              <w:spacing w:line="400" w:lineRule="exact"/>
              <w:jc w:val="center"/>
              <w:rPr>
                <w:rFonts w:ascii="Times New Roman" w:hAnsi="Times New Roman" w:eastAsia="仿宋_GB2312"/>
                <w:sz w:val="24"/>
                <w:szCs w:val="24"/>
              </w:rPr>
            </w:pPr>
            <w:r>
              <w:rPr>
                <w:rFonts w:ascii="Times New Roman" w:hAnsi="Times New Roman" w:eastAsia="仿宋_GB2312"/>
                <w:sz w:val="24"/>
                <w:szCs w:val="24"/>
              </w:rPr>
              <w:t>9</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持续符合资质认定条件和技术能力的要求。</w:t>
            </w:r>
          </w:p>
        </w:tc>
        <w:tc>
          <w:tcPr>
            <w:tcW w:w="5811" w:type="dxa"/>
            <w:gridSpan w:val="3"/>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（1）现有环境、设施满足通过资质认定的检验检测项目需要。</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（2）现有仪器设备满足通过资质认定的检验检测项目需要。</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（3）现有人员能够满足检验检测需要。</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（4）质量管理体系有效运行，各项管理文件制定合理，员工对质量管理相关要求认同、熟悉并有效运用。</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（5）在环境、设施、设备及人员情况发生变化，不能持续符合资质认定要求时，不存在擅自对社会出具具有证明作用数据和结果的行为。</w:t>
            </w:r>
          </w:p>
        </w:tc>
        <w:tc>
          <w:tcPr>
            <w:tcW w:w="2473" w:type="dxa"/>
            <w:gridSpan w:val="2"/>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754" w:type="dxa"/>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0</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规范出具检验检测报告。</w:t>
            </w:r>
          </w:p>
        </w:tc>
        <w:tc>
          <w:tcPr>
            <w:tcW w:w="5811" w:type="dxa"/>
            <w:gridSpan w:val="3"/>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（1）按照相关标准和程序实施检验检测活动。</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（2）原始记录与检验检测报告具有可溯源性。</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（3）检验检测报告用语规范，依据明确；符合资质认定相关要求，符合合同约定要求。</w:t>
            </w:r>
          </w:p>
        </w:tc>
        <w:tc>
          <w:tcPr>
            <w:tcW w:w="2473" w:type="dxa"/>
            <w:gridSpan w:val="2"/>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754" w:type="dxa"/>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1</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正确使用资质认定标志、检验检测机构公章或检验检测专用章。</w:t>
            </w:r>
          </w:p>
        </w:tc>
        <w:tc>
          <w:tcPr>
            <w:tcW w:w="5811" w:type="dxa"/>
            <w:gridSpan w:val="3"/>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（1）机构应制定资质认定标志、检验检测机构公章或检验检测专用章的使用规定。</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（2）在检验检测报告中正确使用资质认定标志以及加盖检验检测机构公章或检验检测专用章。</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（3）不转让、出租、出借资质认定证书和标志；不伪造、变造、冒用资质认定证书和标志；不使用已失效、撤销、注销的资质认定证书和标志。</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（4）不存在其他错误使用资质认定标志的行为。</w:t>
            </w:r>
          </w:p>
        </w:tc>
        <w:tc>
          <w:tcPr>
            <w:tcW w:w="2473" w:type="dxa"/>
            <w:gridSpan w:val="2"/>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754" w:type="dxa"/>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2</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不得出具不实检验检测数据、结果和报告的要求。</w:t>
            </w:r>
          </w:p>
        </w:tc>
        <w:tc>
          <w:tcPr>
            <w:tcW w:w="5811" w:type="dxa"/>
            <w:gridSpan w:val="3"/>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机构及相关人员是否存在以下出具不实检验检测数据、结果和报告的情形：</w:t>
            </w:r>
          </w:p>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（1）样品的采集、标识、分发、流转、制备、保存、处置不符合标准等规定，存在样品污染、混淆、损毁、性状异常改变等情形；</w:t>
            </w:r>
          </w:p>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（2）使用未经检定或者校准的仪器、设备、设施；</w:t>
            </w:r>
          </w:p>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（3）违反国家有关强制性规定的检验检测规程或者方法；</w:t>
            </w:r>
          </w:p>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（4）未按照标准等规定传输、保存原始数据和报告。</w:t>
            </w:r>
          </w:p>
        </w:tc>
        <w:tc>
          <w:tcPr>
            <w:tcW w:w="2473" w:type="dxa"/>
            <w:gridSpan w:val="2"/>
            <w:vAlign w:val="center"/>
          </w:tcPr>
          <w:p>
            <w:pPr>
              <w:spacing w:line="400" w:lineRule="exact"/>
              <w:jc w:val="center"/>
              <w:rPr>
                <w:rFonts w:ascii="Times New Roman" w:hAnsi="Times New Roman" w:eastAsia="仿宋_GB2312"/>
                <w:sz w:val="24"/>
                <w:szCs w:val="24"/>
              </w:rPr>
            </w:pPr>
          </w:p>
        </w:tc>
        <w:tc>
          <w:tcPr>
            <w:tcW w:w="2635" w:type="dxa"/>
            <w:gridSpan w:val="2"/>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1" w:hRule="atLeast"/>
          <w:jc w:val="center"/>
        </w:trPr>
        <w:tc>
          <w:tcPr>
            <w:tcW w:w="754" w:type="dxa"/>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13</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不得出具虚假检验检测数据、结果的要求。</w:t>
            </w:r>
          </w:p>
        </w:tc>
        <w:tc>
          <w:tcPr>
            <w:tcW w:w="5811" w:type="dxa"/>
            <w:gridSpan w:val="3"/>
            <w:vAlign w:val="center"/>
          </w:tcPr>
          <w:p>
            <w:pPr>
              <w:spacing w:line="400" w:lineRule="exact"/>
              <w:rPr>
                <w:rFonts w:ascii="Times New Roman" w:hAnsi="Times New Roman" w:eastAsia="仿宋_GB2312"/>
                <w:color w:val="FF0000"/>
                <w:sz w:val="24"/>
                <w:szCs w:val="24"/>
              </w:rPr>
            </w:pPr>
            <w:r>
              <w:rPr>
                <w:rFonts w:hint="eastAsia" w:ascii="Times New Roman" w:hAnsi="Times New Roman" w:eastAsia="仿宋_GB2312"/>
                <w:sz w:val="24"/>
                <w:szCs w:val="24"/>
              </w:rPr>
              <w:t>机构及相关人员不得存在以下出具虚假检验检测数据、结果和报告的情形：</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（1）未经检验检测；</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（2）伪造、变造原始数据、记录，或者未按照标准等规定采用原始数据、记录；</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（3）减少、遗漏或者变更标准等规定的应当检验检测的项目，或者改变关键检验检测条件；</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（4）调换检验检测样品或者改变其原有状态进行检验检测；</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（5）伪造检验检测机构公章或者检验检测专用章，或者伪造授权签字人签名或者签发时间。</w:t>
            </w:r>
            <w:bookmarkStart w:id="1" w:name="_GoBack"/>
            <w:bookmarkEnd w:id="1"/>
          </w:p>
        </w:tc>
        <w:tc>
          <w:tcPr>
            <w:tcW w:w="2473" w:type="dxa"/>
            <w:gridSpan w:val="2"/>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754" w:type="dxa"/>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14</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规范实施分包。</w:t>
            </w:r>
          </w:p>
        </w:tc>
        <w:tc>
          <w:tcPr>
            <w:tcW w:w="5811" w:type="dxa"/>
            <w:gridSpan w:val="3"/>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（1）若存在分包需求，应制定有关分包规范实施的管理文件。</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（2）实施分包的检验检测项目事先取得委托方的同意，分包给已经取得相关项目资质认定和能力的检验检测机构，并在检验检测报告中注明分包情况和承担分包项目的检验检测机构。</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（3）与分包方签署的分包合同、分包方提供的完整报告应当归档，妥善保存。</w:t>
            </w:r>
          </w:p>
        </w:tc>
        <w:tc>
          <w:tcPr>
            <w:tcW w:w="2473" w:type="dxa"/>
            <w:gridSpan w:val="2"/>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9" w:hRule="atLeast"/>
          <w:jc w:val="center"/>
        </w:trPr>
        <w:tc>
          <w:tcPr>
            <w:tcW w:w="754" w:type="dxa"/>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15</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机构情况发生变化时，及时办理有关变更手续。</w:t>
            </w:r>
          </w:p>
        </w:tc>
        <w:tc>
          <w:tcPr>
            <w:tcW w:w="5811" w:type="dxa"/>
            <w:gridSpan w:val="3"/>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（1）机构名称、地址、法人性质、法定代表人、最高管理者、技术负责人、授权签字人等内容发生变化时，是否及时向资质认定管理部门申请变更。</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（2）资质认定检验检测项目取消、检验检测标准或方法等内容发生变更时，是否及时申请变更。</w:t>
            </w:r>
          </w:p>
        </w:tc>
        <w:tc>
          <w:tcPr>
            <w:tcW w:w="2473" w:type="dxa"/>
            <w:gridSpan w:val="2"/>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jc w:val="center"/>
        </w:trPr>
        <w:tc>
          <w:tcPr>
            <w:tcW w:w="754" w:type="dxa"/>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16</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按要求上报开展检验检测活动以及统计数据等信息。</w:t>
            </w:r>
          </w:p>
        </w:tc>
        <w:tc>
          <w:tcPr>
            <w:tcW w:w="5811" w:type="dxa"/>
            <w:gridSpan w:val="3"/>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（1）制定按期向资质认定部门上报持续符合相应条件和要求、遵守从业规范、开展检验检测活动以及统计数据的制度，并按《检验检测统计调查制度》的要求，及时、准确地上报相关统计信息。</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（2）归档保存历年上报的年度报告、统计数据，检查资质认定部门网上系统本机构提交数据的情况。</w:t>
            </w:r>
          </w:p>
        </w:tc>
        <w:tc>
          <w:tcPr>
            <w:tcW w:w="2473" w:type="dxa"/>
            <w:gridSpan w:val="2"/>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jc w:val="center"/>
        </w:trPr>
        <w:tc>
          <w:tcPr>
            <w:tcW w:w="754" w:type="dxa"/>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17</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参加能力验证。</w:t>
            </w:r>
          </w:p>
        </w:tc>
        <w:tc>
          <w:tcPr>
            <w:tcW w:w="5811" w:type="dxa"/>
            <w:gridSpan w:val="3"/>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制定制度，按要求参加省级以上市场监督管理部门组织的能力验证。检查本机构参加能力验证的情况和结果。</w:t>
            </w:r>
          </w:p>
        </w:tc>
        <w:tc>
          <w:tcPr>
            <w:tcW w:w="2473" w:type="dxa"/>
            <w:gridSpan w:val="2"/>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spacing w:line="400" w:lineRule="exact"/>
              <w:jc w:val="center"/>
              <w:rPr>
                <w:rFonts w:ascii="Times New Roman" w:hAnsi="Times New Roman" w:eastAsia="仿宋_GB2312"/>
                <w:sz w:val="24"/>
                <w:szCs w:val="24"/>
              </w:rPr>
            </w:pPr>
          </w:p>
        </w:tc>
      </w:tr>
    </w:tbl>
    <w:p/>
    <w:sectPr>
      <w:footerReference r:id="rId3" w:type="default"/>
      <w:footerReference r:id="rId4" w:type="even"/>
      <w:pgSz w:w="16838" w:h="11906" w:orient="landscape"/>
      <w:pgMar w:top="1984" w:right="1474" w:bottom="1361" w:left="1474" w:header="851" w:footer="1361" w:gutter="0"/>
      <w:paperSrc/>
      <w:pgNumType w:start="9"/>
      <w:cols w:space="0" w:num="1"/>
      <w:rtlGutter w:val="0"/>
      <w:docGrid w:type="linesAndChars" w:linePitch="295"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ind w:left="315" w:leftChars="150" w:right="315" w:rightChars="150"/>
      <w:jc w:val="right"/>
      <w:textAlignment w:val="auto"/>
      <w:outlineLvl w:val="9"/>
    </w:pPr>
    <w:bookmarkStart w:id="0" w:name="_Hlk72152791"/>
    <w:r>
      <w:rPr>
        <w:rFonts w:hint="eastAsia" w:ascii="宋体" w:hAnsi="宋体" w:eastAsia="宋体" w:cs="宋体"/>
        <w:sz w:val="28"/>
        <w:szCs w:val="28"/>
      </w:rPr>
      <w:t>—</w:t>
    </w:r>
    <w:sdt>
      <w:sdtPr>
        <w:rPr>
          <w:rFonts w:hint="eastAsia" w:ascii="宋体" w:hAnsi="宋体" w:eastAsia="宋体" w:cs="宋体"/>
          <w:sz w:val="28"/>
          <w:szCs w:val="28"/>
        </w:rPr>
        <w:id w:val="1557897160"/>
      </w:sdtPr>
      <w:sdtEndPr>
        <w:rPr>
          <w:rFonts w:hint="eastAsia" w:ascii="宋体" w:hAnsi="宋体" w:eastAsia="宋体" w:cs="宋体"/>
          <w:sz w:val="28"/>
          <w:szCs w:val="28"/>
        </w:rPr>
      </w:sdtEndPr>
      <w:sdtContent>
        <w:bookmarkEnd w:id="0"/>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sdtContent>
    </w:sdt>
    <w:r>
      <w:rPr>
        <w:rFonts w:hint="eastAsia" w:ascii="宋体" w:hAnsi="宋体" w:eastAsia="宋体" w:cs="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pPr>
    <w:r>
      <w:rPr>
        <w:rFonts w:hint="eastAsia" w:ascii="宋体" w:hAnsi="宋体" w:eastAsia="宋体" w:cs="宋体"/>
        <w:sz w:val="28"/>
        <w:szCs w:val="28"/>
      </w:rPr>
      <w:t>—</w:t>
    </w:r>
    <w:sdt>
      <w:sdtPr>
        <w:rPr>
          <w:rFonts w:hint="eastAsia" w:ascii="宋体" w:hAnsi="宋体" w:eastAsia="宋体" w:cs="宋体"/>
          <w:sz w:val="28"/>
          <w:szCs w:val="28"/>
        </w:rPr>
        <w:id w:val="1557897160"/>
      </w:sdtPr>
      <w:sdtEndPr>
        <w:rPr>
          <w:rFonts w:hint="eastAsia" w:ascii="宋体" w:hAnsi="宋体" w:eastAsia="宋体" w:cs="宋体"/>
          <w:sz w:val="28"/>
          <w:szCs w:val="28"/>
        </w:rPr>
      </w:sdtEndPr>
      <w:sdtContent>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sdtContent>
    </w:sdt>
    <w:r>
      <w:rPr>
        <w:rFonts w:hint="eastAsia" w:ascii="宋体" w:hAnsi="宋体" w:eastAsia="宋体" w:cs="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VerticalSpacing w:val="14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553"/>
    <w:rsid w:val="00062F14"/>
    <w:rsid w:val="00140225"/>
    <w:rsid w:val="00262F8C"/>
    <w:rsid w:val="002751DE"/>
    <w:rsid w:val="005E63BD"/>
    <w:rsid w:val="006A1553"/>
    <w:rsid w:val="007A36CD"/>
    <w:rsid w:val="009A18AC"/>
    <w:rsid w:val="00A97AE8"/>
    <w:rsid w:val="00B9462F"/>
    <w:rsid w:val="00DA2B0D"/>
    <w:rsid w:val="00EF5C90"/>
    <w:rsid w:val="0D9F0189"/>
    <w:rsid w:val="3AFD1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qFormat/>
    <w:uiPriority w:val="99"/>
    <w:rPr>
      <w:rFonts w:ascii="Calibri" w:hAnsi="Calibri" w:eastAsia="宋体" w:cs="Times New Roman"/>
      <w:sz w:val="18"/>
      <w:szCs w:val="18"/>
    </w:rPr>
  </w:style>
  <w:style w:type="character" w:customStyle="1" w:styleId="8">
    <w:name w:val="页脚 字符"/>
    <w:basedOn w:val="4"/>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469</Words>
  <Characters>2679</Characters>
  <Lines>22</Lines>
  <Paragraphs>6</Paragraphs>
  <TotalTime>2</TotalTime>
  <ScaleCrop>false</ScaleCrop>
  <LinksUpToDate>false</LinksUpToDate>
  <CharactersWithSpaces>3142</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2021-05-15T08:59:00Z</dcterms:created>
  <dc:creator>ZHANG BO</dc:creator>
  <cp:lastModifiedBy>zhaom</cp:lastModifiedBy>
  <cp:lastPrinted>2021-06-02T01:49:31Z</cp:lastPrinted>
  <dcterms:modified xsi:type="dcterms:W3CDTF">2021-06-02T01:50:53Z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