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A7E0A">
      <w:pPr>
        <w:autoSpaceDE w:val="0"/>
        <w:autoSpaceDN w:val="0"/>
        <w:adjustRightInd w:val="0"/>
        <w:snapToGrid w:val="0"/>
        <w:spacing w:after="0" w:line="240" w:lineRule="auto"/>
        <w:rPr>
          <w:rFonts w:hint="eastAsia" w:ascii="仿宋" w:hAnsi="仿宋" w:eastAsia="仿宋" w:cs="仿宋"/>
          <w:sz w:val="32"/>
          <w:szCs w:val="32"/>
        </w:rPr>
      </w:pPr>
      <w:r>
        <w:rPr>
          <w:rFonts w:hint="eastAsia" w:ascii="仿宋" w:hAnsi="仿宋" w:eastAsia="仿宋" w:cs="仿宋"/>
          <w:sz w:val="32"/>
          <w:szCs w:val="32"/>
        </w:rPr>
        <w:t>附件1</w:t>
      </w:r>
    </w:p>
    <w:p w14:paraId="12C20F84">
      <w:pPr>
        <w:autoSpaceDE w:val="0"/>
        <w:autoSpaceDN w:val="0"/>
        <w:adjustRightInd w:val="0"/>
        <w:snapToGrid w:val="0"/>
        <w:spacing w:after="0" w:line="240" w:lineRule="auto"/>
        <w:jc w:val="center"/>
        <w:rPr>
          <w:rFonts w:hint="eastAsia" w:ascii="仿宋" w:hAnsi="仿宋" w:eastAsia="仿宋" w:cs="仿宋"/>
          <w:sz w:val="32"/>
          <w:szCs w:val="32"/>
        </w:rPr>
      </w:pPr>
      <w:r>
        <w:rPr>
          <w:rFonts w:hint="eastAsia" w:ascii="方正小标宋简体" w:eastAsia="方正小标宋简体"/>
          <w:sz w:val="32"/>
          <w:szCs w:val="32"/>
        </w:rPr>
        <w:t>团体标准起草参与回执表</w:t>
      </w:r>
      <w:r>
        <w:rPr>
          <w:rFonts w:hint="eastAsia" w:ascii="仿宋" w:hAnsi="仿宋" w:eastAsia="仿宋" w:cs="仿宋"/>
          <w:sz w:val="32"/>
          <w:szCs w:val="32"/>
        </w:rPr>
        <w:br w:type="textWrapping"/>
      </w:r>
    </w:p>
    <w:tbl>
      <w:tblPr>
        <w:tblStyle w:val="16"/>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51"/>
        <w:gridCol w:w="3066"/>
        <w:gridCol w:w="3483"/>
      </w:tblGrid>
      <w:tr w14:paraId="792C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8500" w:type="dxa"/>
            <w:gridSpan w:val="3"/>
            <w:tcBorders>
              <w:top w:val="single" w:color="auto" w:sz="4" w:space="0"/>
              <w:left w:val="single" w:color="auto" w:sz="4" w:space="0"/>
              <w:bottom w:val="single" w:color="auto" w:sz="4" w:space="0"/>
              <w:right w:val="single" w:color="auto" w:sz="4" w:space="0"/>
            </w:tcBorders>
          </w:tcPr>
          <w:p w14:paraId="39D9F22D">
            <w:pPr>
              <w:spacing w:line="360" w:lineRule="auto"/>
              <w:rPr>
                <w:rFonts w:hint="eastAsia" w:ascii="宋体" w:hAnsi="宋体" w:eastAsia="宋体"/>
                <w:sz w:val="24"/>
              </w:rPr>
            </w:pPr>
            <w:r>
              <w:rPr>
                <w:rFonts w:hint="eastAsia" w:ascii="宋体" w:hAnsi="宋体" w:eastAsia="宋体"/>
                <w:sz w:val="24"/>
              </w:rPr>
              <w:t>单位名称：</w:t>
            </w:r>
          </w:p>
        </w:tc>
      </w:tr>
      <w:tr w14:paraId="2A5B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5017" w:type="dxa"/>
            <w:gridSpan w:val="2"/>
            <w:tcBorders>
              <w:top w:val="single" w:color="auto" w:sz="4" w:space="0"/>
              <w:left w:val="single" w:color="auto" w:sz="4" w:space="0"/>
              <w:bottom w:val="single" w:color="auto" w:sz="4" w:space="0"/>
              <w:right w:val="single" w:color="auto" w:sz="4" w:space="0"/>
            </w:tcBorders>
          </w:tcPr>
          <w:p w14:paraId="3ACAA5C6">
            <w:pPr>
              <w:spacing w:line="360" w:lineRule="auto"/>
              <w:rPr>
                <w:rFonts w:hint="eastAsia" w:ascii="宋体" w:hAnsi="宋体" w:eastAsia="宋体"/>
                <w:sz w:val="24"/>
              </w:rPr>
            </w:pPr>
            <w:r>
              <w:rPr>
                <w:rFonts w:hint="eastAsia" w:ascii="宋体" w:hAnsi="宋体" w:eastAsia="宋体"/>
                <w:sz w:val="24"/>
              </w:rPr>
              <w:t>通讯地址：</w:t>
            </w:r>
          </w:p>
        </w:tc>
        <w:tc>
          <w:tcPr>
            <w:tcW w:w="3483" w:type="dxa"/>
            <w:tcBorders>
              <w:top w:val="single" w:color="auto" w:sz="4" w:space="0"/>
              <w:left w:val="single" w:color="auto" w:sz="4" w:space="0"/>
              <w:bottom w:val="single" w:color="auto" w:sz="4" w:space="0"/>
              <w:right w:val="single" w:color="auto" w:sz="4" w:space="0"/>
            </w:tcBorders>
            <w:vAlign w:val="center"/>
          </w:tcPr>
          <w:p w14:paraId="0B467DF7">
            <w:pPr>
              <w:spacing w:line="360" w:lineRule="auto"/>
              <w:rPr>
                <w:rFonts w:hint="eastAsia" w:ascii="宋体" w:hAnsi="宋体" w:eastAsia="宋体"/>
                <w:sz w:val="24"/>
              </w:rPr>
            </w:pPr>
            <w:r>
              <w:rPr>
                <w:rFonts w:hint="eastAsia" w:ascii="宋体" w:hAnsi="宋体" w:eastAsia="宋体"/>
                <w:sz w:val="24"/>
              </w:rPr>
              <w:t>邮箱：</w:t>
            </w:r>
          </w:p>
        </w:tc>
      </w:tr>
      <w:tr w14:paraId="5E154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5017" w:type="dxa"/>
            <w:gridSpan w:val="2"/>
            <w:tcBorders>
              <w:top w:val="single" w:color="auto" w:sz="4" w:space="0"/>
              <w:left w:val="single" w:color="auto" w:sz="4" w:space="0"/>
              <w:bottom w:val="single" w:color="auto" w:sz="4" w:space="0"/>
              <w:right w:val="single" w:color="auto" w:sz="4" w:space="0"/>
            </w:tcBorders>
          </w:tcPr>
          <w:p w14:paraId="0639F40F">
            <w:pPr>
              <w:spacing w:line="360" w:lineRule="auto"/>
              <w:rPr>
                <w:rFonts w:hint="eastAsia" w:ascii="宋体" w:hAnsi="宋体" w:eastAsia="宋体"/>
                <w:sz w:val="24"/>
              </w:rPr>
            </w:pPr>
            <w:r>
              <w:rPr>
                <w:rFonts w:hint="eastAsia" w:ascii="宋体" w:hAnsi="宋体" w:eastAsia="宋体"/>
                <w:sz w:val="24"/>
              </w:rPr>
              <w:t xml:space="preserve">联系人： </w:t>
            </w:r>
          </w:p>
        </w:tc>
        <w:tc>
          <w:tcPr>
            <w:tcW w:w="3483" w:type="dxa"/>
            <w:tcBorders>
              <w:top w:val="single" w:color="auto" w:sz="4" w:space="0"/>
              <w:left w:val="single" w:color="auto" w:sz="4" w:space="0"/>
              <w:bottom w:val="single" w:color="auto" w:sz="4" w:space="0"/>
              <w:right w:val="single" w:color="auto" w:sz="4" w:space="0"/>
            </w:tcBorders>
          </w:tcPr>
          <w:p w14:paraId="785488E9">
            <w:pPr>
              <w:spacing w:line="360" w:lineRule="auto"/>
              <w:rPr>
                <w:rFonts w:hint="eastAsia" w:ascii="宋体" w:hAnsi="宋体" w:eastAsia="宋体"/>
                <w:sz w:val="24"/>
              </w:rPr>
            </w:pPr>
            <w:r>
              <w:rPr>
                <w:rFonts w:hint="eastAsia" w:ascii="宋体" w:hAnsi="宋体" w:eastAsia="宋体"/>
                <w:sz w:val="24"/>
              </w:rPr>
              <w:t>电  话：</w:t>
            </w:r>
          </w:p>
        </w:tc>
      </w:tr>
      <w:tr w14:paraId="4536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7" w:hRule="atLeast"/>
          <w:jc w:val="center"/>
        </w:trPr>
        <w:tc>
          <w:tcPr>
            <w:tcW w:w="8500" w:type="dxa"/>
            <w:gridSpan w:val="3"/>
            <w:tcBorders>
              <w:top w:val="single" w:color="auto" w:sz="4" w:space="0"/>
              <w:left w:val="single" w:color="auto" w:sz="4" w:space="0"/>
              <w:bottom w:val="single" w:color="auto" w:sz="4" w:space="0"/>
              <w:right w:val="single" w:color="auto" w:sz="4" w:space="0"/>
            </w:tcBorders>
          </w:tcPr>
          <w:p w14:paraId="720FAC79">
            <w:pPr>
              <w:spacing w:line="360" w:lineRule="auto"/>
              <w:rPr>
                <w:rFonts w:hint="eastAsia" w:ascii="宋体" w:hAnsi="宋体" w:eastAsia="宋体"/>
                <w:sz w:val="24"/>
              </w:rPr>
            </w:pPr>
            <w:r>
              <w:rPr>
                <w:rFonts w:hint="eastAsia" w:ascii="宋体" w:hAnsi="宋体" w:eastAsia="宋体"/>
                <w:sz w:val="24"/>
              </w:rPr>
              <w:t>原参与起草标准名称（见山东省认证认可协会团体标准立项申请）：</w:t>
            </w:r>
          </w:p>
          <w:p w14:paraId="5E58A02E">
            <w:pPr>
              <w:spacing w:line="360" w:lineRule="auto"/>
              <w:rPr>
                <w:rFonts w:hint="eastAsia" w:ascii="宋体" w:hAnsi="宋体" w:eastAsia="宋体"/>
                <w:sz w:val="24"/>
              </w:rPr>
            </w:pPr>
            <w:r>
              <w:rPr>
                <w:rFonts w:hint="eastAsia" w:ascii="宋体" w:hAnsi="宋体" w:eastAsia="宋体"/>
                <w:sz w:val="24"/>
              </w:rPr>
              <w:t>1.</w:t>
            </w:r>
          </w:p>
          <w:p w14:paraId="0905F93A">
            <w:pPr>
              <w:spacing w:line="360" w:lineRule="auto"/>
              <w:rPr>
                <w:rFonts w:hint="eastAsia" w:ascii="宋体" w:hAnsi="宋体" w:eastAsia="宋体"/>
                <w:sz w:val="24"/>
              </w:rPr>
            </w:pPr>
            <w:r>
              <w:rPr>
                <w:rFonts w:hint="eastAsia" w:ascii="宋体" w:hAnsi="宋体" w:eastAsia="宋体"/>
                <w:sz w:val="24"/>
              </w:rPr>
              <w:t>2.……</w:t>
            </w:r>
          </w:p>
        </w:tc>
      </w:tr>
      <w:tr w14:paraId="6275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951" w:type="dxa"/>
            <w:vMerge w:val="restart"/>
            <w:tcBorders>
              <w:top w:val="single" w:color="auto" w:sz="4" w:space="0"/>
              <w:left w:val="single" w:color="auto" w:sz="4" w:space="0"/>
              <w:right w:val="single" w:color="auto" w:sz="4" w:space="0"/>
            </w:tcBorders>
            <w:vAlign w:val="center"/>
          </w:tcPr>
          <w:p w14:paraId="66DCA3A8">
            <w:pPr>
              <w:spacing w:line="360" w:lineRule="auto"/>
              <w:rPr>
                <w:rFonts w:hint="eastAsia" w:ascii="宋体" w:hAnsi="宋体" w:eastAsia="宋体"/>
                <w:b/>
                <w:szCs w:val="21"/>
              </w:rPr>
            </w:pPr>
            <w:r>
              <w:rPr>
                <w:rFonts w:hint="eastAsia" w:ascii="宋体" w:hAnsi="宋体" w:eastAsia="宋体"/>
                <w:b/>
                <w:szCs w:val="21"/>
              </w:rPr>
              <w:t>参与单位</w:t>
            </w:r>
          </w:p>
        </w:tc>
        <w:tc>
          <w:tcPr>
            <w:tcW w:w="6549" w:type="dxa"/>
            <w:gridSpan w:val="2"/>
            <w:tcBorders>
              <w:top w:val="single" w:color="auto" w:sz="4" w:space="0"/>
              <w:left w:val="single" w:color="auto" w:sz="4" w:space="0"/>
              <w:bottom w:val="single" w:color="auto" w:sz="4" w:space="0"/>
              <w:right w:val="single" w:color="auto" w:sz="4" w:space="0"/>
            </w:tcBorders>
            <w:vAlign w:val="center"/>
          </w:tcPr>
          <w:p w14:paraId="397F448A">
            <w:pPr>
              <w:spacing w:line="360" w:lineRule="auto"/>
              <w:rPr>
                <w:rFonts w:hint="eastAsia" w:ascii="宋体" w:hAnsi="宋体" w:eastAsia="宋体"/>
                <w:b/>
                <w:szCs w:val="21"/>
              </w:rPr>
            </w:pPr>
            <w:r>
              <w:rPr>
                <w:rFonts w:hint="eastAsia" w:ascii="宋体" w:hAnsi="宋体" w:eastAsia="宋体"/>
                <w:b/>
                <w:szCs w:val="21"/>
              </w:rPr>
              <w:t>单位：</w:t>
            </w:r>
            <w:r>
              <w:rPr>
                <w:rFonts w:hint="eastAsia"/>
              </w:rPr>
              <w:t>□</w:t>
            </w:r>
            <w:r>
              <w:rPr>
                <w:rFonts w:hint="eastAsia" w:ascii="宋体" w:hAnsi="宋体" w:eastAsia="宋体"/>
                <w:b/>
                <w:szCs w:val="21"/>
              </w:rPr>
              <w:t>企业</w:t>
            </w:r>
            <w:r>
              <w:rPr>
                <w:rFonts w:hint="eastAsia"/>
              </w:rPr>
              <w:t>□</w:t>
            </w:r>
            <w:r>
              <w:rPr>
                <w:rFonts w:hint="eastAsia" w:ascii="宋体" w:hAnsi="宋体" w:eastAsia="宋体"/>
                <w:b/>
                <w:szCs w:val="21"/>
              </w:rPr>
              <w:t>事业单位</w:t>
            </w:r>
            <w:r>
              <w:rPr>
                <w:rFonts w:hint="eastAsia"/>
              </w:rPr>
              <w:t>□</w:t>
            </w:r>
            <w:r>
              <w:rPr>
                <w:rFonts w:hint="eastAsia" w:ascii="宋体" w:hAnsi="宋体" w:eastAsia="宋体"/>
                <w:b/>
                <w:szCs w:val="21"/>
              </w:rPr>
              <w:t>检验检测/认证机构</w:t>
            </w:r>
            <w:r>
              <w:rPr>
                <w:rFonts w:hint="eastAsia"/>
              </w:rPr>
              <w:t>□</w:t>
            </w:r>
            <w:r>
              <w:rPr>
                <w:rFonts w:hint="eastAsia" w:ascii="宋体" w:hAnsi="宋体" w:eastAsia="宋体"/>
                <w:b/>
                <w:szCs w:val="21"/>
              </w:rPr>
              <w:t>学协会</w:t>
            </w:r>
            <w:r>
              <w:rPr>
                <w:rFonts w:hint="eastAsia"/>
              </w:rPr>
              <w:t>□</w:t>
            </w:r>
            <w:r>
              <w:rPr>
                <w:rFonts w:hint="eastAsia" w:ascii="宋体" w:hAnsi="宋体" w:eastAsia="宋体"/>
                <w:b/>
                <w:szCs w:val="21"/>
              </w:rPr>
              <w:t>其他</w:t>
            </w:r>
          </w:p>
        </w:tc>
      </w:tr>
      <w:tr w14:paraId="4F71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951" w:type="dxa"/>
            <w:vMerge w:val="continue"/>
            <w:tcBorders>
              <w:left w:val="single" w:color="auto" w:sz="4" w:space="0"/>
              <w:right w:val="single" w:color="auto" w:sz="4" w:space="0"/>
            </w:tcBorders>
            <w:vAlign w:val="center"/>
          </w:tcPr>
          <w:p w14:paraId="6A4987DF">
            <w:pPr>
              <w:spacing w:line="360" w:lineRule="auto"/>
              <w:rPr>
                <w:rFonts w:hint="eastAsia" w:ascii="宋体" w:hAnsi="宋体" w:eastAsia="宋体"/>
                <w:b/>
                <w:szCs w:val="21"/>
              </w:rPr>
            </w:pPr>
          </w:p>
        </w:tc>
        <w:tc>
          <w:tcPr>
            <w:tcW w:w="6549" w:type="dxa"/>
            <w:gridSpan w:val="2"/>
            <w:tcBorders>
              <w:top w:val="single" w:color="auto" w:sz="4" w:space="0"/>
              <w:left w:val="single" w:color="auto" w:sz="4" w:space="0"/>
              <w:bottom w:val="single" w:color="auto" w:sz="4" w:space="0"/>
              <w:right w:val="single" w:color="auto" w:sz="4" w:space="0"/>
            </w:tcBorders>
            <w:vAlign w:val="center"/>
          </w:tcPr>
          <w:p w14:paraId="21EE564C">
            <w:pPr>
              <w:spacing w:line="360" w:lineRule="auto"/>
              <w:rPr>
                <w:rFonts w:hint="eastAsia" w:ascii="宋体" w:hAnsi="宋体" w:eastAsia="宋体"/>
                <w:b/>
                <w:szCs w:val="21"/>
              </w:rPr>
            </w:pPr>
            <w:r>
              <w:rPr>
                <w:rFonts w:hint="eastAsia" w:ascii="宋体" w:hAnsi="宋体" w:eastAsia="宋体"/>
                <w:b/>
                <w:szCs w:val="21"/>
              </w:rPr>
              <w:t>主要内容：</w:t>
            </w:r>
            <w:r>
              <w:rPr>
                <w:rFonts w:hint="eastAsia" w:ascii="宋体" w:hAnsi="宋体" w:eastAsia="宋体"/>
                <w:b/>
                <w:i/>
                <w:iCs/>
                <w:szCs w:val="21"/>
              </w:rPr>
              <w:t>包括但不限于单位主要业务、所属行业、承接的标准化任务和标准化工作、主要管理和技术及标准化荣誉或成果等</w:t>
            </w:r>
          </w:p>
        </w:tc>
      </w:tr>
      <w:tr w14:paraId="61B7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jc w:val="center"/>
        </w:trPr>
        <w:tc>
          <w:tcPr>
            <w:tcW w:w="1951" w:type="dxa"/>
            <w:tcBorders>
              <w:left w:val="single" w:color="auto" w:sz="4" w:space="0"/>
              <w:bottom w:val="single" w:color="auto" w:sz="4" w:space="0"/>
              <w:right w:val="single" w:color="auto" w:sz="4" w:space="0"/>
            </w:tcBorders>
            <w:vAlign w:val="center"/>
          </w:tcPr>
          <w:p w14:paraId="4645943C">
            <w:pPr>
              <w:spacing w:line="360" w:lineRule="auto"/>
              <w:rPr>
                <w:rFonts w:hint="eastAsia" w:ascii="宋体" w:hAnsi="宋体" w:eastAsia="宋体"/>
                <w:b/>
                <w:szCs w:val="21"/>
              </w:rPr>
            </w:pPr>
            <w:r>
              <w:rPr>
                <w:rFonts w:hint="eastAsia" w:ascii="宋体" w:hAnsi="宋体" w:eastAsia="宋体"/>
                <w:b/>
                <w:szCs w:val="21"/>
              </w:rPr>
              <w:t>参与单位参与标准起草工作和内容</w:t>
            </w:r>
          </w:p>
        </w:tc>
        <w:tc>
          <w:tcPr>
            <w:tcW w:w="6549" w:type="dxa"/>
            <w:gridSpan w:val="2"/>
            <w:tcBorders>
              <w:top w:val="single" w:color="auto" w:sz="4" w:space="0"/>
              <w:left w:val="single" w:color="auto" w:sz="4" w:space="0"/>
              <w:bottom w:val="single" w:color="auto" w:sz="4" w:space="0"/>
              <w:right w:val="single" w:color="auto" w:sz="4" w:space="0"/>
            </w:tcBorders>
            <w:vAlign w:val="center"/>
          </w:tcPr>
          <w:p w14:paraId="76548B00">
            <w:pPr>
              <w:spacing w:line="360" w:lineRule="auto"/>
              <w:rPr>
                <w:rFonts w:hint="eastAsia" w:ascii="宋体" w:hAnsi="宋体" w:eastAsia="宋体"/>
                <w:b/>
                <w:szCs w:val="21"/>
              </w:rPr>
            </w:pPr>
            <w:r>
              <w:rPr>
                <w:rFonts w:hint="eastAsia" w:ascii="宋体" w:hAnsi="宋体" w:eastAsia="宋体"/>
                <w:b/>
                <w:szCs w:val="21"/>
              </w:rPr>
              <w:t>原承接的标准起草工作和具体内：</w:t>
            </w:r>
          </w:p>
          <w:p w14:paraId="24656A99">
            <w:pPr>
              <w:spacing w:line="360" w:lineRule="auto"/>
              <w:rPr>
                <w:rFonts w:hint="eastAsia" w:ascii="宋体" w:hAnsi="宋体" w:eastAsia="宋体"/>
                <w:b/>
                <w:szCs w:val="21"/>
              </w:rPr>
            </w:pPr>
          </w:p>
        </w:tc>
      </w:tr>
      <w:tr w14:paraId="74B0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3"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4E9710C5">
            <w:pPr>
              <w:spacing w:line="360" w:lineRule="auto"/>
              <w:rPr>
                <w:rFonts w:hint="eastAsia" w:ascii="宋体" w:hAnsi="宋体" w:eastAsia="宋体"/>
                <w:b/>
                <w:szCs w:val="21"/>
              </w:rPr>
            </w:pPr>
            <w:r>
              <w:rPr>
                <w:rFonts w:hint="eastAsia" w:ascii="宋体" w:hAnsi="宋体" w:eastAsia="宋体"/>
                <w:b/>
                <w:szCs w:val="21"/>
              </w:rPr>
              <w:t>参与专家1简介</w:t>
            </w:r>
          </w:p>
        </w:tc>
        <w:tc>
          <w:tcPr>
            <w:tcW w:w="6549" w:type="dxa"/>
            <w:gridSpan w:val="2"/>
            <w:tcBorders>
              <w:top w:val="single" w:color="auto" w:sz="4" w:space="0"/>
              <w:left w:val="single" w:color="auto" w:sz="4" w:space="0"/>
              <w:bottom w:val="single" w:color="auto" w:sz="4" w:space="0"/>
              <w:right w:val="single" w:color="auto" w:sz="4" w:space="0"/>
            </w:tcBorders>
            <w:vAlign w:val="center"/>
          </w:tcPr>
          <w:p w14:paraId="146B2FDC">
            <w:pPr>
              <w:spacing w:line="360" w:lineRule="auto"/>
              <w:rPr>
                <w:rFonts w:hint="eastAsia" w:ascii="宋体" w:hAnsi="宋体" w:eastAsia="宋体"/>
                <w:b/>
                <w:szCs w:val="21"/>
              </w:rPr>
            </w:pPr>
            <w:r>
              <w:rPr>
                <w:rFonts w:hint="eastAsia" w:ascii="宋体" w:hAnsi="宋体" w:eastAsia="宋体"/>
                <w:b/>
                <w:szCs w:val="21"/>
              </w:rPr>
              <w:t>工作背景简述：</w:t>
            </w:r>
          </w:p>
          <w:p w14:paraId="6F17B9AD">
            <w:pPr>
              <w:spacing w:line="360" w:lineRule="auto"/>
              <w:rPr>
                <w:rFonts w:hint="eastAsia" w:ascii="宋体" w:hAnsi="宋体" w:eastAsia="宋体"/>
                <w:b/>
                <w:szCs w:val="21"/>
              </w:rPr>
            </w:pPr>
            <w:r>
              <w:rPr>
                <w:rFonts w:hint="eastAsia" w:ascii="宋体" w:hAnsi="宋体" w:eastAsia="宋体"/>
                <w:b/>
                <w:szCs w:val="21"/>
              </w:rPr>
              <w:t>标准化工作经历简述：</w:t>
            </w:r>
          </w:p>
          <w:p w14:paraId="7C3B08DF">
            <w:pPr>
              <w:spacing w:line="360" w:lineRule="auto"/>
              <w:rPr>
                <w:rFonts w:hint="eastAsia" w:ascii="宋体" w:hAnsi="宋体" w:eastAsia="宋体"/>
                <w:b/>
                <w:szCs w:val="21"/>
              </w:rPr>
            </w:pPr>
            <w:r>
              <w:rPr>
                <w:rFonts w:hint="eastAsia" w:ascii="宋体" w:hAnsi="宋体" w:eastAsia="宋体"/>
                <w:b/>
                <w:szCs w:val="21"/>
              </w:rPr>
              <w:t>主要科研/标准化成果简述：</w:t>
            </w:r>
          </w:p>
          <w:p w14:paraId="7FD049EB">
            <w:pPr>
              <w:spacing w:line="360" w:lineRule="auto"/>
              <w:rPr>
                <w:rFonts w:hint="eastAsia" w:ascii="宋体" w:hAnsi="宋体" w:eastAsia="宋体"/>
                <w:b/>
                <w:szCs w:val="21"/>
              </w:rPr>
            </w:pPr>
            <w:r>
              <w:rPr>
                <w:rFonts w:hint="eastAsia" w:ascii="宋体" w:hAnsi="宋体" w:eastAsia="宋体"/>
                <w:b/>
                <w:szCs w:val="21"/>
              </w:rPr>
              <w:t>原承接的标准起草工作说明：</w:t>
            </w:r>
          </w:p>
        </w:tc>
      </w:tr>
      <w:tr w14:paraId="30F0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3CC61390">
            <w:pPr>
              <w:spacing w:line="360" w:lineRule="auto"/>
              <w:rPr>
                <w:rFonts w:hint="eastAsia" w:ascii="宋体" w:hAnsi="宋体" w:eastAsia="宋体"/>
                <w:sz w:val="24"/>
              </w:rPr>
            </w:pPr>
            <w:r>
              <w:rPr>
                <w:rFonts w:hint="eastAsia" w:ascii="宋体" w:hAnsi="宋体" w:eastAsia="宋体"/>
                <w:b/>
                <w:szCs w:val="21"/>
              </w:rPr>
              <w:t>参与专家2简介</w:t>
            </w:r>
          </w:p>
        </w:tc>
        <w:tc>
          <w:tcPr>
            <w:tcW w:w="6549" w:type="dxa"/>
            <w:gridSpan w:val="2"/>
            <w:tcBorders>
              <w:top w:val="single" w:color="auto" w:sz="4" w:space="0"/>
              <w:left w:val="single" w:color="auto" w:sz="4" w:space="0"/>
              <w:bottom w:val="single" w:color="auto" w:sz="4" w:space="0"/>
              <w:right w:val="single" w:color="auto" w:sz="4" w:space="0"/>
            </w:tcBorders>
            <w:vAlign w:val="center"/>
          </w:tcPr>
          <w:p w14:paraId="15E9445F">
            <w:pPr>
              <w:spacing w:line="360" w:lineRule="auto"/>
              <w:rPr>
                <w:rFonts w:hint="eastAsia" w:ascii="宋体" w:hAnsi="宋体" w:eastAsia="宋体"/>
                <w:sz w:val="24"/>
              </w:rPr>
            </w:pPr>
            <w:r>
              <w:rPr>
                <w:rFonts w:hint="eastAsia" w:ascii="宋体" w:hAnsi="宋体" w:eastAsia="宋体"/>
                <w:sz w:val="24"/>
              </w:rPr>
              <w:t>同上</w:t>
            </w:r>
          </w:p>
        </w:tc>
      </w:tr>
      <w:tr w14:paraId="78B91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1B628BFD">
            <w:pPr>
              <w:spacing w:line="360" w:lineRule="auto"/>
              <w:rPr>
                <w:rFonts w:hint="eastAsia" w:ascii="宋体" w:hAnsi="宋体" w:eastAsia="宋体"/>
                <w:sz w:val="24"/>
              </w:rPr>
            </w:pPr>
            <w:r>
              <w:rPr>
                <w:rFonts w:hint="eastAsia" w:ascii="宋体" w:hAnsi="宋体" w:eastAsia="宋体"/>
                <w:b/>
                <w:szCs w:val="21"/>
              </w:rPr>
              <w:t>参与专家3简介</w:t>
            </w:r>
          </w:p>
        </w:tc>
        <w:tc>
          <w:tcPr>
            <w:tcW w:w="6549" w:type="dxa"/>
            <w:gridSpan w:val="2"/>
            <w:tcBorders>
              <w:top w:val="single" w:color="auto" w:sz="4" w:space="0"/>
              <w:left w:val="single" w:color="auto" w:sz="4" w:space="0"/>
              <w:bottom w:val="single" w:color="auto" w:sz="4" w:space="0"/>
              <w:right w:val="single" w:color="auto" w:sz="4" w:space="0"/>
            </w:tcBorders>
            <w:vAlign w:val="center"/>
          </w:tcPr>
          <w:p w14:paraId="2EA12FF2">
            <w:pPr>
              <w:spacing w:line="360" w:lineRule="auto"/>
              <w:rPr>
                <w:rFonts w:hint="eastAsia" w:ascii="宋体" w:hAnsi="宋体" w:eastAsia="宋体"/>
                <w:sz w:val="24"/>
              </w:rPr>
            </w:pPr>
            <w:r>
              <w:rPr>
                <w:rFonts w:hint="eastAsia" w:ascii="宋体" w:hAnsi="宋体" w:eastAsia="宋体"/>
                <w:sz w:val="24"/>
              </w:rPr>
              <w:t>同上</w:t>
            </w:r>
          </w:p>
        </w:tc>
      </w:tr>
      <w:tr w14:paraId="4C29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8500" w:type="dxa"/>
            <w:gridSpan w:val="3"/>
          </w:tcPr>
          <w:p w14:paraId="6EEFE311">
            <w:pPr>
              <w:spacing w:line="360" w:lineRule="auto"/>
              <w:rPr>
                <w:rFonts w:hint="eastAsia" w:ascii="宋体" w:hAnsi="宋体" w:eastAsia="宋体"/>
                <w:sz w:val="24"/>
              </w:rPr>
            </w:pPr>
            <w:r>
              <w:rPr>
                <w:rFonts w:hint="eastAsia" w:ascii="宋体" w:hAnsi="宋体" w:eastAsia="宋体"/>
                <w:sz w:val="24"/>
              </w:rPr>
              <w:t>您对标准起草工作的建议：（可续页）</w:t>
            </w:r>
          </w:p>
          <w:p w14:paraId="03E6E69C">
            <w:pPr>
              <w:spacing w:line="360" w:lineRule="auto"/>
              <w:rPr>
                <w:rFonts w:hint="eastAsia" w:ascii="宋体" w:hAnsi="宋体" w:eastAsia="宋体"/>
                <w:sz w:val="24"/>
              </w:rPr>
            </w:pPr>
          </w:p>
        </w:tc>
      </w:tr>
    </w:tbl>
    <w:p w14:paraId="7477DAE3">
      <w:pPr>
        <w:autoSpaceDE w:val="0"/>
        <w:autoSpaceDN w:val="0"/>
        <w:adjustRightInd w:val="0"/>
        <w:snapToGrid w:val="0"/>
        <w:spacing w:after="0" w:line="240" w:lineRule="auto"/>
        <w:jc w:val="center"/>
        <w:rPr>
          <w:rFonts w:hint="eastAsia" w:ascii="仿宋" w:hAnsi="仿宋" w:eastAsia="仿宋" w:cs="仿宋"/>
          <w:sz w:val="32"/>
          <w:szCs w:val="32"/>
        </w:rPr>
      </w:pPr>
    </w:p>
    <w:p w14:paraId="35153086">
      <w:pPr>
        <w:autoSpaceDE w:val="0"/>
        <w:autoSpaceDN w:val="0"/>
        <w:adjustRightInd w:val="0"/>
        <w:snapToGrid w:val="0"/>
        <w:spacing w:after="0" w:line="360" w:lineRule="auto"/>
        <w:ind w:firstLine="640" w:firstLineChars="200"/>
        <w:jc w:val="both"/>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14:paraId="08F35A7A">
      <w:pPr>
        <w:autoSpaceDE w:val="0"/>
        <w:autoSpaceDN w:val="0"/>
        <w:adjustRightInd w:val="0"/>
        <w:snapToGrid w:val="0"/>
        <w:spacing w:after="0" w:line="360" w:lineRule="auto"/>
        <w:jc w:val="both"/>
        <w:rPr>
          <w:rFonts w:hint="eastAsia" w:ascii="仿宋" w:hAnsi="仿宋" w:eastAsia="仿宋" w:cs="仿宋"/>
          <w:sz w:val="32"/>
          <w:szCs w:val="32"/>
        </w:rPr>
      </w:pPr>
      <w:r>
        <w:rPr>
          <w:rFonts w:hint="eastAsia" w:ascii="仿宋" w:hAnsi="仿宋" w:eastAsia="仿宋" w:cs="仿宋"/>
          <w:sz w:val="32"/>
          <w:szCs w:val="32"/>
        </w:rPr>
        <w:t>附件2</w:t>
      </w:r>
    </w:p>
    <w:p w14:paraId="7AE2ACF8">
      <w:pPr>
        <w:autoSpaceDE w:val="0"/>
        <w:autoSpaceDN w:val="0"/>
        <w:adjustRightInd w:val="0"/>
        <w:snapToGrid w:val="0"/>
        <w:spacing w:after="0" w:line="240" w:lineRule="auto"/>
        <w:jc w:val="center"/>
        <w:rPr>
          <w:rFonts w:hint="eastAsia" w:ascii="方正小标宋简体" w:eastAsia="方正小标宋简体"/>
          <w:sz w:val="32"/>
          <w:szCs w:val="32"/>
        </w:rPr>
      </w:pPr>
      <w:r>
        <w:rPr>
          <w:rFonts w:hint="eastAsia" w:ascii="方正小标宋简体" w:eastAsia="方正小标宋简体"/>
          <w:sz w:val="32"/>
          <w:szCs w:val="32"/>
        </w:rPr>
        <w:t>拟起草编写的团体标准汇总表</w:t>
      </w:r>
    </w:p>
    <w:p w14:paraId="65129E34">
      <w:pPr>
        <w:autoSpaceDE w:val="0"/>
        <w:autoSpaceDN w:val="0"/>
        <w:adjustRightInd w:val="0"/>
        <w:snapToGrid w:val="0"/>
        <w:spacing w:after="0" w:line="240" w:lineRule="auto"/>
        <w:jc w:val="center"/>
        <w:rPr>
          <w:rFonts w:hint="eastAsia" w:ascii="方正小标宋简体" w:eastAsia="方正小标宋简体"/>
          <w:sz w:val="28"/>
          <w:szCs w:val="28"/>
        </w:rPr>
      </w:pPr>
    </w:p>
    <w:tbl>
      <w:tblPr>
        <w:tblStyle w:val="17"/>
        <w:tblW w:w="14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231"/>
        <w:gridCol w:w="1417"/>
        <w:gridCol w:w="10699"/>
      </w:tblGrid>
      <w:tr w14:paraId="712A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91" w:type="dxa"/>
            <w:vAlign w:val="center"/>
          </w:tcPr>
          <w:p w14:paraId="164C1154">
            <w:pPr>
              <w:autoSpaceDE w:val="0"/>
              <w:autoSpaceDN w:val="0"/>
              <w:adjustRightInd w:val="0"/>
              <w:snapToGrid w:val="0"/>
              <w:spacing w:after="0" w:line="360" w:lineRule="auto"/>
              <w:jc w:val="center"/>
              <w:rPr>
                <w:rFonts w:hint="eastAsia" w:ascii="仿宋" w:hAnsi="仿宋" w:eastAsia="仿宋" w:cs="仿宋"/>
                <w:b/>
                <w:bCs/>
                <w:sz w:val="24"/>
              </w:rPr>
            </w:pPr>
            <w:r>
              <w:rPr>
                <w:rFonts w:hint="eastAsia" w:ascii="仿宋" w:hAnsi="仿宋" w:eastAsia="仿宋" w:cs="仿宋"/>
                <w:b/>
                <w:bCs/>
                <w:sz w:val="24"/>
              </w:rPr>
              <w:t>序号</w:t>
            </w:r>
          </w:p>
        </w:tc>
        <w:tc>
          <w:tcPr>
            <w:tcW w:w="1231" w:type="dxa"/>
            <w:vAlign w:val="center"/>
          </w:tcPr>
          <w:p w14:paraId="7F416E39">
            <w:pPr>
              <w:autoSpaceDE w:val="0"/>
              <w:autoSpaceDN w:val="0"/>
              <w:adjustRightInd w:val="0"/>
              <w:snapToGrid w:val="0"/>
              <w:spacing w:after="0" w:line="360" w:lineRule="auto"/>
              <w:jc w:val="center"/>
              <w:rPr>
                <w:rFonts w:hint="eastAsia" w:ascii="仿宋" w:hAnsi="仿宋" w:eastAsia="仿宋" w:cs="仿宋"/>
                <w:b/>
                <w:bCs/>
                <w:sz w:val="24"/>
              </w:rPr>
            </w:pPr>
            <w:r>
              <w:rPr>
                <w:rFonts w:hint="eastAsia" w:ascii="仿宋" w:hAnsi="仿宋" w:eastAsia="仿宋" w:cs="仿宋"/>
                <w:b/>
                <w:bCs/>
                <w:sz w:val="24"/>
              </w:rPr>
              <w:t>标准名称（暂定）</w:t>
            </w:r>
          </w:p>
        </w:tc>
        <w:tc>
          <w:tcPr>
            <w:tcW w:w="1417" w:type="dxa"/>
            <w:vAlign w:val="center"/>
          </w:tcPr>
          <w:p w14:paraId="0C2E6F14">
            <w:pPr>
              <w:autoSpaceDE w:val="0"/>
              <w:autoSpaceDN w:val="0"/>
              <w:adjustRightInd w:val="0"/>
              <w:snapToGrid w:val="0"/>
              <w:spacing w:after="0" w:line="360" w:lineRule="auto"/>
              <w:jc w:val="center"/>
              <w:rPr>
                <w:rFonts w:hint="eastAsia" w:ascii="仿宋" w:hAnsi="仿宋" w:eastAsia="仿宋" w:cs="仿宋"/>
                <w:b/>
                <w:bCs/>
                <w:sz w:val="24"/>
              </w:rPr>
            </w:pPr>
            <w:r>
              <w:rPr>
                <w:rFonts w:hint="eastAsia" w:ascii="仿宋" w:hAnsi="仿宋" w:eastAsia="仿宋" w:cs="仿宋"/>
                <w:b/>
                <w:bCs/>
                <w:sz w:val="24"/>
              </w:rPr>
              <w:t>起草组长</w:t>
            </w:r>
          </w:p>
          <w:p w14:paraId="6C681B2B">
            <w:pPr>
              <w:autoSpaceDE w:val="0"/>
              <w:autoSpaceDN w:val="0"/>
              <w:adjustRightInd w:val="0"/>
              <w:snapToGrid w:val="0"/>
              <w:spacing w:after="0" w:line="360" w:lineRule="auto"/>
              <w:jc w:val="center"/>
              <w:rPr>
                <w:rFonts w:hint="eastAsia" w:ascii="仿宋" w:hAnsi="仿宋" w:eastAsia="仿宋" w:cs="仿宋"/>
                <w:b/>
                <w:bCs/>
                <w:sz w:val="24"/>
              </w:rPr>
            </w:pPr>
            <w:r>
              <w:rPr>
                <w:rFonts w:hint="eastAsia" w:ascii="仿宋" w:hAnsi="仿宋" w:eastAsia="仿宋" w:cs="仿宋"/>
                <w:b/>
                <w:bCs/>
                <w:sz w:val="24"/>
              </w:rPr>
              <w:t>联系方式</w:t>
            </w:r>
          </w:p>
        </w:tc>
        <w:tc>
          <w:tcPr>
            <w:tcW w:w="10699" w:type="dxa"/>
            <w:vAlign w:val="center"/>
          </w:tcPr>
          <w:p w14:paraId="70E736B5">
            <w:pPr>
              <w:autoSpaceDE w:val="0"/>
              <w:autoSpaceDN w:val="0"/>
              <w:adjustRightInd w:val="0"/>
              <w:snapToGrid w:val="0"/>
              <w:spacing w:after="0" w:line="360" w:lineRule="auto"/>
              <w:jc w:val="center"/>
              <w:rPr>
                <w:rFonts w:hint="eastAsia" w:ascii="仿宋" w:hAnsi="仿宋" w:eastAsia="仿宋" w:cs="仿宋"/>
                <w:b/>
                <w:bCs/>
                <w:sz w:val="24"/>
              </w:rPr>
            </w:pPr>
            <w:r>
              <w:rPr>
                <w:rFonts w:hint="eastAsia" w:ascii="仿宋" w:hAnsi="仿宋" w:eastAsia="仿宋" w:cs="仿宋"/>
                <w:b/>
                <w:bCs/>
                <w:sz w:val="24"/>
              </w:rPr>
              <w:t>标准基本情况说明</w:t>
            </w:r>
          </w:p>
        </w:tc>
      </w:tr>
      <w:tr w14:paraId="682C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891" w:type="dxa"/>
            <w:vAlign w:val="center"/>
          </w:tcPr>
          <w:p w14:paraId="0B8D6261">
            <w:pPr>
              <w:autoSpaceDE w:val="0"/>
              <w:autoSpaceDN w:val="0"/>
              <w:adjustRightInd w:val="0"/>
              <w:snapToGrid w:val="0"/>
              <w:spacing w:after="0" w:line="360" w:lineRule="auto"/>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1</w:t>
            </w:r>
          </w:p>
        </w:tc>
        <w:tc>
          <w:tcPr>
            <w:tcW w:w="1231" w:type="dxa"/>
            <w:vAlign w:val="center"/>
          </w:tcPr>
          <w:p w14:paraId="4A03EC4B">
            <w:pPr>
              <w:autoSpaceDE w:val="0"/>
              <w:autoSpaceDN w:val="0"/>
              <w:adjustRightInd w:val="0"/>
              <w:snapToGrid w:val="0"/>
              <w:spacing w:after="0" w:line="360" w:lineRule="auto"/>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脱酚酚油</w:t>
            </w:r>
          </w:p>
        </w:tc>
        <w:tc>
          <w:tcPr>
            <w:tcW w:w="1417" w:type="dxa"/>
            <w:vAlign w:val="center"/>
          </w:tcPr>
          <w:p w14:paraId="138CD6E9">
            <w:pPr>
              <w:autoSpaceDE w:val="0"/>
              <w:autoSpaceDN w:val="0"/>
              <w:adjustRightInd w:val="0"/>
              <w:snapToGrid w:val="0"/>
              <w:spacing w:after="0" w:line="360" w:lineRule="auto"/>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杨建</w:t>
            </w:r>
            <w:bookmarkStart w:id="0" w:name="_GoBack"/>
            <w:bookmarkEnd w:id="0"/>
            <w:r>
              <w:rPr>
                <w:rFonts w:hint="eastAsia" w:ascii="宋体" w:hAnsi="宋体" w:eastAsia="宋体" w:cs="宋体"/>
                <w:color w:val="000000"/>
                <w:kern w:val="0"/>
                <w:sz w:val="20"/>
                <w:szCs w:val="20"/>
                <w:lang w:val="en-US" w:eastAsia="zh-CN"/>
                <w14:ligatures w14:val="none"/>
              </w:rPr>
              <w:t>杰</w:t>
            </w:r>
            <w:r>
              <w:rPr>
                <w:rFonts w:hint="eastAsia" w:ascii="宋体" w:hAnsi="宋体" w:eastAsia="宋体" w:cs="宋体"/>
                <w:color w:val="000000"/>
                <w:kern w:val="0"/>
                <w:sz w:val="20"/>
                <w:szCs w:val="20"/>
                <w14:ligatures w14:val="none"/>
              </w:rPr>
              <w:t>13573675850</w:t>
            </w:r>
          </w:p>
        </w:tc>
        <w:tc>
          <w:tcPr>
            <w:tcW w:w="10699" w:type="dxa"/>
            <w:vAlign w:val="center"/>
          </w:tcPr>
          <w:p w14:paraId="1D1D5E12">
            <w:pPr>
              <w:pStyle w:val="40"/>
              <w:spacing w:before="98" w:line="333" w:lineRule="exact"/>
              <w:jc w:val="both"/>
              <w:rPr>
                <w:rFonts w:hint="eastAsia"/>
                <w:lang w:eastAsia="zh-CN"/>
              </w:rPr>
            </w:pPr>
            <w:r>
              <w:rPr>
                <w:rFonts w:hint="eastAsia"/>
                <w:lang w:eastAsia="zh-CN"/>
              </w:rPr>
              <w:t>温煤焦油在蒸馏加工过程中，生产脱酚酚油产品，一般占整个煤焦油产品收率的1.5-2%，一般作为工业工茚、古马隆、苯甲酸的原料。煤焦油加工技术已经成熟20年，脱酚酚油作为小众产品，一直没有建立GB和YB，企业自己建立《企业标准》，为进一步提升煤焦油加工技术水平，加强技术交流，共同认可质量指标，建议对脱酚酚油编制《团体标准》。</w:t>
            </w:r>
          </w:p>
          <w:p w14:paraId="0AAE9F93">
            <w:pPr>
              <w:pStyle w:val="40"/>
              <w:spacing w:before="98" w:line="333" w:lineRule="exact"/>
              <w:jc w:val="both"/>
              <w:rPr>
                <w:rFonts w:hint="eastAsia" w:ascii="仿宋" w:hAnsi="仿宋" w:eastAsia="仿宋" w:cs="仿宋"/>
                <w:sz w:val="32"/>
                <w:szCs w:val="32"/>
                <w:lang w:eastAsia="zh-CN"/>
              </w:rPr>
            </w:pPr>
            <w:r>
              <w:rPr>
                <w:rFonts w:hint="eastAsia"/>
                <w:lang w:eastAsia="zh-CN"/>
              </w:rPr>
              <w:t>规定脱酚酚油的技术要求、实验方法、检验规则及标志、运输、储存等。技术指标：密度20°C，g/cm3：≤0.99，粘度（50°C），mps.s：≤3.8。国内企业的企业标准各不相同，根据自己企业的情况进行控制，有的包含萘含量、水分等质量指标，比较杂乱。</w:t>
            </w:r>
          </w:p>
        </w:tc>
      </w:tr>
      <w:tr w14:paraId="72DD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91" w:type="dxa"/>
            <w:vAlign w:val="center"/>
          </w:tcPr>
          <w:p w14:paraId="0F05657B">
            <w:pPr>
              <w:autoSpaceDE w:val="0"/>
              <w:autoSpaceDN w:val="0"/>
              <w:adjustRightInd w:val="0"/>
              <w:snapToGrid w:val="0"/>
              <w:spacing w:after="0" w:line="360" w:lineRule="auto"/>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2</w:t>
            </w:r>
          </w:p>
        </w:tc>
        <w:tc>
          <w:tcPr>
            <w:tcW w:w="1231" w:type="dxa"/>
            <w:vAlign w:val="center"/>
          </w:tcPr>
          <w:p w14:paraId="5D12DC99">
            <w:pPr>
              <w:autoSpaceDE w:val="0"/>
              <w:autoSpaceDN w:val="0"/>
              <w:adjustRightInd w:val="0"/>
              <w:snapToGrid w:val="0"/>
              <w:spacing w:after="0" w:line="360" w:lineRule="auto"/>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钢铁企业安全操作规程编制规范</w:t>
            </w:r>
          </w:p>
        </w:tc>
        <w:tc>
          <w:tcPr>
            <w:tcW w:w="1417" w:type="dxa"/>
            <w:vAlign w:val="center"/>
          </w:tcPr>
          <w:p w14:paraId="37A5CD46">
            <w:pPr>
              <w:autoSpaceDE w:val="0"/>
              <w:autoSpaceDN w:val="0"/>
              <w:adjustRightInd w:val="0"/>
              <w:snapToGrid w:val="0"/>
              <w:spacing w:after="0" w:line="360" w:lineRule="auto"/>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冯会昌</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13969126889</w:t>
            </w:r>
          </w:p>
        </w:tc>
        <w:tc>
          <w:tcPr>
            <w:tcW w:w="10699" w:type="dxa"/>
            <w:shd w:val="clear" w:color="auto" w:fill="auto"/>
          </w:tcPr>
          <w:p w14:paraId="6EC0BB49">
            <w:pPr>
              <w:autoSpaceDE w:val="0"/>
              <w:autoSpaceDN w:val="0"/>
              <w:adjustRightInd w:val="0"/>
              <w:snapToGrid w:val="0"/>
              <w:spacing w:after="0" w:line="360" w:lineRule="auto"/>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安全操作规程是企业安全管理的重要组成部分，是企业安全生产重要保障，具有科学性、严肃性、技术性和适用性。《中华人民共和国安全生产法》《山东省生产经营单位安全生产主体责任规定》（省政府 357 号令）等法规中明确规定企业必须编制操作规程，但未对操作规程的编制过程做出具体规定。目前，企业对安全操作规程的认识、重视程度不足，对于编制的依据、编制的内容、编制的程序不规范、不严谨，造成</w:t>
            </w:r>
            <w:r>
              <w:rPr>
                <w:rFonts w:ascii="宋体" w:hAnsi="宋体" w:eastAsia="宋体" w:cs="宋体"/>
                <w:color w:val="000000"/>
                <w:kern w:val="0"/>
                <w:sz w:val="20"/>
                <w:szCs w:val="20"/>
                <w14:ligatures w14:val="none"/>
              </w:rPr>
              <w:t>编制的岗位安全生产操作规程逻辑性不强，内容不全面、缺乏可操作性，不能有效指导作业人员正确操作、正确处置操作中的非正常现象，从而导致各类生产事故的发生</w:t>
            </w:r>
            <w:r>
              <w:rPr>
                <w:rFonts w:hint="eastAsia" w:ascii="宋体" w:hAnsi="宋体" w:eastAsia="宋体" w:cs="宋体"/>
                <w:color w:val="000000"/>
                <w:kern w:val="0"/>
                <w:sz w:val="20"/>
                <w:szCs w:val="20"/>
                <w14:ligatures w14:val="none"/>
              </w:rPr>
              <w:t>。主要适用于钢铁企业，主要技术内容：术语与定义、编写基本原则、编写依据、结构、格式和内容等。目前，国内、省内尚无指导钢铁企业安全操作规程编制的规范。</w:t>
            </w:r>
          </w:p>
        </w:tc>
      </w:tr>
      <w:tr w14:paraId="7A5B9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91" w:type="dxa"/>
            <w:vAlign w:val="center"/>
          </w:tcPr>
          <w:p w14:paraId="447232D0">
            <w:pPr>
              <w:autoSpaceDE w:val="0"/>
              <w:autoSpaceDN w:val="0"/>
              <w:adjustRightInd w:val="0"/>
              <w:snapToGrid w:val="0"/>
              <w:spacing w:after="0" w:line="360" w:lineRule="auto"/>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3</w:t>
            </w:r>
          </w:p>
        </w:tc>
        <w:tc>
          <w:tcPr>
            <w:tcW w:w="1231" w:type="dxa"/>
            <w:vAlign w:val="center"/>
          </w:tcPr>
          <w:p w14:paraId="6C143BFD">
            <w:pPr>
              <w:autoSpaceDE w:val="0"/>
              <w:autoSpaceDN w:val="0"/>
              <w:adjustRightInd w:val="0"/>
              <w:snapToGrid w:val="0"/>
              <w:spacing w:after="0" w:line="360" w:lineRule="auto"/>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管理体系认证范围界定</w:t>
            </w:r>
          </w:p>
          <w:p w14:paraId="5F4E3E5D">
            <w:pPr>
              <w:autoSpaceDE w:val="0"/>
              <w:autoSpaceDN w:val="0"/>
              <w:adjustRightInd w:val="0"/>
              <w:snapToGrid w:val="0"/>
              <w:spacing w:after="0" w:line="360" w:lineRule="auto"/>
              <w:jc w:val="center"/>
              <w:rPr>
                <w:rFonts w:hint="eastAsia" w:ascii="宋体" w:hAnsi="宋体" w:eastAsia="宋体" w:cs="宋体"/>
                <w:color w:val="000000"/>
                <w:kern w:val="0"/>
                <w:sz w:val="20"/>
                <w:szCs w:val="20"/>
                <w14:ligatures w14:val="none"/>
              </w:rPr>
            </w:pPr>
          </w:p>
        </w:tc>
        <w:tc>
          <w:tcPr>
            <w:tcW w:w="1417" w:type="dxa"/>
            <w:vAlign w:val="center"/>
          </w:tcPr>
          <w:p w14:paraId="57BB4D86">
            <w:pPr>
              <w:autoSpaceDE w:val="0"/>
              <w:autoSpaceDN w:val="0"/>
              <w:adjustRightInd w:val="0"/>
              <w:snapToGrid w:val="0"/>
              <w:spacing w:after="0" w:line="360" w:lineRule="auto"/>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王继之</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13808920679</w:t>
            </w:r>
          </w:p>
        </w:tc>
        <w:tc>
          <w:tcPr>
            <w:tcW w:w="10699" w:type="dxa"/>
            <w:shd w:val="clear" w:color="auto" w:fill="auto"/>
          </w:tcPr>
          <w:p w14:paraId="4DCC6802">
            <w:pPr>
              <w:autoSpaceDE w:val="0"/>
              <w:autoSpaceDN w:val="0"/>
              <w:adjustRightInd w:val="0"/>
              <w:snapToGrid w:val="0"/>
              <w:spacing w:after="0" w:line="360" w:lineRule="auto"/>
              <w:jc w:val="left"/>
              <w:rPr>
                <w:rFonts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通过对多年双随机认证抽查及问题分析：存在管理体系范围不准确、超范围发证等问题。认证实质是传递信任、需向市场主体通过认证证书准确传达认证信息，以表明受评价体系具备证书范围内的能力。</w:t>
            </w:r>
          </w:p>
          <w:p w14:paraId="029A53E4">
            <w:pPr>
              <w:autoSpaceDE w:val="0"/>
              <w:autoSpaceDN w:val="0"/>
              <w:adjustRightInd w:val="0"/>
              <w:snapToGrid w:val="0"/>
              <w:spacing w:after="0" w:line="360" w:lineRule="auto"/>
              <w:jc w:val="left"/>
              <w:rPr>
                <w:rFonts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通过相关分析，现认证范围存在的问题是谁机构相关和和技术能力不充分等、如认证机构 将认证范围的界定多压在审核环节，造成：1）相关职责未完全按机构认证业务流程分解到相应管理岗位，到现场审核已较被动且没充分的时间和资源支持； 2）审核组等专业能力不足，表现为证书表述不确切或超过受审方资质（营业执照、行业许可）、超出受审核方能力。</w:t>
            </w:r>
          </w:p>
          <w:p w14:paraId="44005CEE">
            <w:pPr>
              <w:autoSpaceDE w:val="0"/>
              <w:autoSpaceDN w:val="0"/>
              <w:adjustRightInd w:val="0"/>
              <w:snapToGrid w:val="0"/>
              <w:spacing w:after="0" w:line="360" w:lineRule="auto"/>
              <w:jc w:val="left"/>
              <w:rPr>
                <w:rFonts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标准起草背景：CNCA和CNAS均对认证范围有明确的管理等要求，相关规范性文件和认可规则等明确的主要是认证范围的界定要求，对如何结合受评价方管理体系实际、受审方设备设施和人员及管理能力、现场审核确认等方面未细化要求。</w:t>
            </w:r>
          </w:p>
          <w:p w14:paraId="3CDAB1E7">
            <w:pPr>
              <w:autoSpaceDE w:val="0"/>
              <w:autoSpaceDN w:val="0"/>
              <w:adjustRightInd w:val="0"/>
              <w:snapToGrid w:val="0"/>
              <w:spacing w:after="0" w:line="360" w:lineRule="auto"/>
              <w:jc w:val="left"/>
              <w:rPr>
                <w:rFonts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拟起草的标准适用对象和主要内容：主要适用认证机构，认证范围和界定涉及认证机构从合同受理和评审、审核准备和现场审核、认证决定等各环节，宜逐步细化和确切表述并传达。</w:t>
            </w:r>
          </w:p>
          <w:p w14:paraId="5C77CB90">
            <w:pPr>
              <w:autoSpaceDE w:val="0"/>
              <w:autoSpaceDN w:val="0"/>
              <w:adjustRightInd w:val="0"/>
              <w:snapToGrid w:val="0"/>
              <w:spacing w:after="0" w:line="360" w:lineRule="auto"/>
              <w:jc w:val="left"/>
              <w:rPr>
                <w:rFonts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标准主要技术内容：各环节就认证范围审查和确定工作及相关信息传达、现场审核需核查内容、受审方能力评价等。</w:t>
            </w:r>
          </w:p>
          <w:p w14:paraId="479A026B">
            <w:pPr>
              <w:autoSpaceDE w:val="0"/>
              <w:autoSpaceDN w:val="0"/>
              <w:adjustRightInd w:val="0"/>
              <w:snapToGrid w:val="0"/>
              <w:spacing w:after="0" w:line="360" w:lineRule="auto"/>
              <w:jc w:val="left"/>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作用和意义：本标准给认证机构、审核组、机构认证决定人员等提供认证范围确定指南（性文件）。另可供认证基层监管部门对认证机构发的认证证书及认证范围准确性等监管检查提供参考。</w:t>
            </w:r>
          </w:p>
        </w:tc>
      </w:tr>
      <w:tr w14:paraId="14292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891" w:type="dxa"/>
            <w:vAlign w:val="center"/>
          </w:tcPr>
          <w:p w14:paraId="2792040D">
            <w:pPr>
              <w:autoSpaceDE w:val="0"/>
              <w:autoSpaceDN w:val="0"/>
              <w:adjustRightInd w:val="0"/>
              <w:snapToGrid w:val="0"/>
              <w:spacing w:after="0" w:line="360" w:lineRule="auto"/>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4</w:t>
            </w:r>
          </w:p>
        </w:tc>
        <w:tc>
          <w:tcPr>
            <w:tcW w:w="1231" w:type="dxa"/>
            <w:vAlign w:val="center"/>
          </w:tcPr>
          <w:p w14:paraId="27B221FE">
            <w:pPr>
              <w:autoSpaceDE w:val="0"/>
              <w:autoSpaceDN w:val="0"/>
              <w:adjustRightInd w:val="0"/>
              <w:snapToGrid w:val="0"/>
              <w:spacing w:after="0" w:line="360" w:lineRule="auto"/>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过程确认及审核</w:t>
            </w:r>
          </w:p>
        </w:tc>
        <w:tc>
          <w:tcPr>
            <w:tcW w:w="1417" w:type="dxa"/>
            <w:vAlign w:val="center"/>
          </w:tcPr>
          <w:p w14:paraId="77CEDABF">
            <w:pPr>
              <w:autoSpaceDE w:val="0"/>
              <w:autoSpaceDN w:val="0"/>
              <w:adjustRightInd w:val="0"/>
              <w:snapToGrid w:val="0"/>
              <w:spacing w:after="0" w:line="360" w:lineRule="auto"/>
              <w:jc w:val="center"/>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王继之</w:t>
            </w:r>
            <w:r>
              <w:rPr>
                <w:rFonts w:hint="eastAsia" w:ascii="宋体" w:hAnsi="宋体" w:eastAsia="宋体" w:cs="宋体"/>
                <w:color w:val="000000"/>
                <w:kern w:val="0"/>
                <w:sz w:val="20"/>
                <w:szCs w:val="20"/>
                <w14:ligatures w14:val="none"/>
              </w:rPr>
              <w:br w:type="textWrapping"/>
            </w:r>
            <w:r>
              <w:rPr>
                <w:rFonts w:hint="eastAsia" w:ascii="宋体" w:hAnsi="宋体" w:eastAsia="宋体" w:cs="宋体"/>
                <w:color w:val="000000"/>
                <w:kern w:val="0"/>
                <w:sz w:val="20"/>
                <w:szCs w:val="20"/>
                <w14:ligatures w14:val="none"/>
              </w:rPr>
              <w:t>13808920679</w:t>
            </w:r>
          </w:p>
        </w:tc>
        <w:tc>
          <w:tcPr>
            <w:tcW w:w="10699" w:type="dxa"/>
            <w:shd w:val="clear" w:color="auto" w:fill="auto"/>
          </w:tcPr>
          <w:p w14:paraId="5C7929C9">
            <w:pPr>
              <w:autoSpaceDE w:val="0"/>
              <w:autoSpaceDN w:val="0"/>
              <w:adjustRightInd w:val="0"/>
              <w:snapToGrid w:val="0"/>
              <w:spacing w:after="0" w:line="360" w:lineRule="auto"/>
              <w:jc w:val="left"/>
              <w:rPr>
                <w:rFonts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标准起草背景和意义：通过对多年现场审核、企业工艺和服务过程管理等相关资料查阅、与审核员和企业工艺管理人员交流等，存在对过程确认及实施、过程确认相关资料保留和评价等多方面问题，影响审核有效性。</w:t>
            </w:r>
          </w:p>
          <w:p w14:paraId="03FF648F">
            <w:pPr>
              <w:autoSpaceDE w:val="0"/>
              <w:autoSpaceDN w:val="0"/>
              <w:adjustRightInd w:val="0"/>
              <w:snapToGrid w:val="0"/>
              <w:spacing w:after="0" w:line="360" w:lineRule="auto"/>
              <w:jc w:val="left"/>
              <w:rPr>
                <w:rFonts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审核评价对过程确认方面主要问题：1）对QMS标准关于过程确认理解有偏差或不全面和不深入，如以为特殊过程才要求确认（实际是GB/T190001标准的最低要求、即此类过程必须确认，关键过程未明确要求，QMS标准意图是通过过程等管理实现预期结果的能力，以确保向客户提供符合法规和技术和产品或服务；2）需受评价方提交资料、评价验证和审核方面问题，表现为不少审核员抄写受审方按人机料法环确认表单，对过程确认应重点关注问题内容等交流不充分，如过程确认材料不细查阅仅看表单等，造成对过程确认审核及评价走过场。</w:t>
            </w:r>
          </w:p>
          <w:p w14:paraId="3F120096">
            <w:pPr>
              <w:autoSpaceDE w:val="0"/>
              <w:autoSpaceDN w:val="0"/>
              <w:adjustRightInd w:val="0"/>
              <w:snapToGrid w:val="0"/>
              <w:spacing w:after="0" w:line="360" w:lineRule="auto"/>
              <w:jc w:val="left"/>
              <w:rPr>
                <w:rFonts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受审方存过程确认等方面主要问题：1）主要是对标准理解不深入、未结合工艺等管理实践向审核组提供资料或说明等，也存在对标准理解不到位、咨询及审核引导等造成的偏差先进产方面问题，如以为有确认表单即可，审核组未对过程确认相关资料进行全面收集和系统分析。实际一般工业性产品及产品安全风险低产品的受评价方，较少人机料法等过程因素同时确认（ISO9000族标准也未完全要求同时确认），如通过检修后设备试车及验收、人员能力考评、新材质使用后的性能检测等应均属过程确认内容，但受审方未对过程确认的方式方法及材料汇总形成进行系统管理并提供过程确认相关资料。</w:t>
            </w:r>
          </w:p>
          <w:p w14:paraId="3556A461">
            <w:pPr>
              <w:autoSpaceDE w:val="0"/>
              <w:autoSpaceDN w:val="0"/>
              <w:adjustRightInd w:val="0"/>
              <w:snapToGrid w:val="0"/>
              <w:spacing w:after="0" w:line="360" w:lineRule="auto"/>
              <w:jc w:val="both"/>
              <w:rPr>
                <w:rFonts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拟起草标准主要技术内容：1）以管理体系标准要求和企业等受审方语言，结合现场审核和企业工艺（生产必企业）/过程（服务业）管理等，对过程确认及能力进一步说明；2）结合部门审核分工（审核组多按部门进行现场审核），明确各审核小组对相关部门过程确认实施、需保留资料、过程能力确认方式方法、过程能力评价等深入说明。</w:t>
            </w:r>
          </w:p>
          <w:p w14:paraId="55AACA8B">
            <w:pPr>
              <w:autoSpaceDE w:val="0"/>
              <w:autoSpaceDN w:val="0"/>
              <w:adjustRightInd w:val="0"/>
              <w:snapToGrid w:val="0"/>
              <w:spacing w:after="0" w:line="360" w:lineRule="auto"/>
              <w:jc w:val="both"/>
              <w:rPr>
                <w:rFonts w:hint="eastAsia" w:ascii="宋体" w:hAnsi="宋体" w:eastAsia="宋体" w:cs="宋体"/>
                <w:color w:val="000000"/>
                <w:kern w:val="0"/>
                <w:sz w:val="20"/>
                <w:szCs w:val="20"/>
                <w14:ligatures w14:val="none"/>
              </w:rPr>
            </w:pPr>
            <w:r>
              <w:rPr>
                <w:rFonts w:hint="eastAsia" w:ascii="宋体" w:hAnsi="宋体" w:eastAsia="宋体" w:cs="宋体"/>
                <w:color w:val="000000"/>
                <w:kern w:val="0"/>
                <w:sz w:val="20"/>
                <w:szCs w:val="20"/>
                <w14:ligatures w14:val="none"/>
              </w:rPr>
              <w:t>拟起草标准使用者：主要给审核组和受审方过程确认及过程能力管理和审核评价等，提供指南。</w:t>
            </w:r>
          </w:p>
        </w:tc>
      </w:tr>
    </w:tbl>
    <w:p w14:paraId="0A809596">
      <w:pPr>
        <w:autoSpaceDE w:val="0"/>
        <w:autoSpaceDN w:val="0"/>
        <w:adjustRightInd w:val="0"/>
        <w:snapToGrid w:val="0"/>
        <w:spacing w:after="0" w:line="360" w:lineRule="auto"/>
        <w:jc w:val="center"/>
        <w:rPr>
          <w:rFonts w:hint="eastAsia" w:ascii="宋体" w:hAnsi="宋体" w:eastAsia="宋体" w:cs="宋体"/>
          <w:color w:val="000000"/>
          <w:kern w:val="0"/>
          <w:sz w:val="20"/>
          <w:szCs w:val="20"/>
          <w14:ligatures w14:val="none"/>
        </w:rPr>
      </w:pPr>
    </w:p>
    <w:p w14:paraId="01F74262">
      <w:pPr>
        <w:autoSpaceDE w:val="0"/>
        <w:autoSpaceDN w:val="0"/>
        <w:adjustRightInd w:val="0"/>
        <w:snapToGrid w:val="0"/>
        <w:spacing w:after="0" w:line="360" w:lineRule="auto"/>
        <w:ind w:firstLine="640" w:firstLineChars="200"/>
        <w:jc w:val="right"/>
        <w:rPr>
          <w:rFonts w:hint="eastAsia" w:ascii="仿宋" w:hAnsi="仿宋" w:eastAsia="仿宋" w:cs="仿宋"/>
          <w:sz w:val="32"/>
          <w:szCs w:val="32"/>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C3"/>
    <w:rsid w:val="001B1E44"/>
    <w:rsid w:val="001B6420"/>
    <w:rsid w:val="00335EC3"/>
    <w:rsid w:val="003B6C1E"/>
    <w:rsid w:val="003D0957"/>
    <w:rsid w:val="0046452E"/>
    <w:rsid w:val="004A1A54"/>
    <w:rsid w:val="00534768"/>
    <w:rsid w:val="0053776C"/>
    <w:rsid w:val="005E00D9"/>
    <w:rsid w:val="006913CD"/>
    <w:rsid w:val="0074074D"/>
    <w:rsid w:val="007E505B"/>
    <w:rsid w:val="00866DFA"/>
    <w:rsid w:val="00943CCE"/>
    <w:rsid w:val="009862CE"/>
    <w:rsid w:val="00995F94"/>
    <w:rsid w:val="00A91906"/>
    <w:rsid w:val="00AB58B1"/>
    <w:rsid w:val="00AC4FF9"/>
    <w:rsid w:val="00AD0F53"/>
    <w:rsid w:val="00C11E6C"/>
    <w:rsid w:val="00C62AAA"/>
    <w:rsid w:val="00E53DD7"/>
    <w:rsid w:val="00E55F21"/>
    <w:rsid w:val="00E61A93"/>
    <w:rsid w:val="00E72F20"/>
    <w:rsid w:val="00EE62D5"/>
    <w:rsid w:val="00F8381D"/>
    <w:rsid w:val="00FA5E0E"/>
    <w:rsid w:val="0CF83424"/>
    <w:rsid w:val="153F3306"/>
    <w:rsid w:val="1A5350D8"/>
    <w:rsid w:val="206559C4"/>
    <w:rsid w:val="28510781"/>
    <w:rsid w:val="3FF17167"/>
    <w:rsid w:val="527C02B1"/>
    <w:rsid w:val="578F1CC6"/>
    <w:rsid w:val="64030A0D"/>
    <w:rsid w:val="7F020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4"/>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39"/>
    <w:semiHidden/>
    <w:unhideWhenUsed/>
    <w:qFormat/>
    <w:uiPriority w:val="99"/>
    <w:pPr>
      <w:ind w:left="100" w:leftChars="2500"/>
    </w:pPr>
  </w:style>
  <w:style w:type="paragraph" w:styleId="12">
    <w:name w:val="footer"/>
    <w:basedOn w:val="1"/>
    <w:link w:val="38"/>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7"/>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29"/>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0">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1">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2">
    <w:name w:val="标题 4 字符"/>
    <w:basedOn w:val="18"/>
    <w:link w:val="5"/>
    <w:semiHidden/>
    <w:qFormat/>
    <w:uiPriority w:val="9"/>
    <w:rPr>
      <w:rFonts w:cstheme="majorBidi"/>
      <w:color w:val="104862" w:themeColor="accent1" w:themeShade="BF"/>
      <w:sz w:val="28"/>
      <w:szCs w:val="28"/>
    </w:rPr>
  </w:style>
  <w:style w:type="character" w:customStyle="1" w:styleId="23">
    <w:name w:val="标题 5 字符"/>
    <w:basedOn w:val="18"/>
    <w:link w:val="6"/>
    <w:semiHidden/>
    <w:qFormat/>
    <w:uiPriority w:val="9"/>
    <w:rPr>
      <w:rFonts w:cstheme="majorBidi"/>
      <w:color w:val="104862" w:themeColor="accent1" w:themeShade="BF"/>
      <w:sz w:val="24"/>
    </w:rPr>
  </w:style>
  <w:style w:type="character" w:customStyle="1" w:styleId="24">
    <w:name w:val="标题 6 字符"/>
    <w:basedOn w:val="18"/>
    <w:link w:val="7"/>
    <w:semiHidden/>
    <w:qFormat/>
    <w:uiPriority w:val="9"/>
    <w:rPr>
      <w:rFonts w:cstheme="majorBidi"/>
      <w:b/>
      <w:bCs/>
      <w:color w:val="104862" w:themeColor="accent1" w:themeShade="BF"/>
    </w:rPr>
  </w:style>
  <w:style w:type="character" w:customStyle="1" w:styleId="25">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8"/>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明显强调1"/>
    <w:basedOn w:val="18"/>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明显引用 字符"/>
    <w:basedOn w:val="18"/>
    <w:link w:val="34"/>
    <w:qFormat/>
    <w:uiPriority w:val="30"/>
    <w:rPr>
      <w:i/>
      <w:iCs/>
      <w:color w:val="104862" w:themeColor="accent1" w:themeShade="BF"/>
    </w:rPr>
  </w:style>
  <w:style w:type="character" w:customStyle="1" w:styleId="36">
    <w:name w:val="明显参考1"/>
    <w:basedOn w:val="18"/>
    <w:qFormat/>
    <w:uiPriority w:val="32"/>
    <w:rPr>
      <w:b/>
      <w:bCs/>
      <w:smallCaps/>
      <w:color w:val="104862" w:themeColor="accent1" w:themeShade="BF"/>
      <w:spacing w:val="5"/>
    </w:rPr>
  </w:style>
  <w:style w:type="character" w:customStyle="1" w:styleId="37">
    <w:name w:val="页眉 字符"/>
    <w:basedOn w:val="18"/>
    <w:link w:val="13"/>
    <w:qFormat/>
    <w:uiPriority w:val="99"/>
    <w:rPr>
      <w:sz w:val="18"/>
      <w:szCs w:val="18"/>
    </w:rPr>
  </w:style>
  <w:style w:type="character" w:customStyle="1" w:styleId="38">
    <w:name w:val="页脚 字符"/>
    <w:basedOn w:val="18"/>
    <w:link w:val="12"/>
    <w:qFormat/>
    <w:uiPriority w:val="99"/>
    <w:rPr>
      <w:sz w:val="18"/>
      <w:szCs w:val="18"/>
    </w:rPr>
  </w:style>
  <w:style w:type="character" w:customStyle="1" w:styleId="39">
    <w:name w:val="日期 字符"/>
    <w:basedOn w:val="18"/>
    <w:link w:val="11"/>
    <w:semiHidden/>
    <w:qFormat/>
    <w:uiPriority w:val="99"/>
  </w:style>
  <w:style w:type="paragraph" w:customStyle="1" w:styleId="40">
    <w:name w:val="Table Text"/>
    <w:basedOn w:val="1"/>
    <w:semiHidden/>
    <w:qFormat/>
    <w:uiPriority w:val="0"/>
    <w:pPr>
      <w:widowControl/>
      <w:kinsoku w:val="0"/>
      <w:autoSpaceDE w:val="0"/>
      <w:autoSpaceDN w:val="0"/>
      <w:adjustRightInd w:val="0"/>
      <w:snapToGrid w:val="0"/>
      <w:spacing w:after="0" w:line="240" w:lineRule="auto"/>
    </w:pPr>
    <w:rPr>
      <w:rFonts w:ascii="宋体" w:hAnsi="宋体" w:eastAsia="宋体" w:cs="宋体"/>
      <w:color w:val="000000"/>
      <w:kern w:val="0"/>
      <w:sz w:val="20"/>
      <w:szCs w:val="20"/>
      <w:lang w:eastAsia="en-US"/>
      <w14:ligatures w14:val="none"/>
    </w:rPr>
  </w:style>
  <w:style w:type="table" w:customStyle="1" w:styleId="41">
    <w:name w:val="Table Normal"/>
    <w:semiHidden/>
    <w:qFormat/>
    <w:uiPriority w:val="0"/>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2312</Words>
  <Characters>2404</Characters>
  <Lines>21</Lines>
  <Paragraphs>6</Paragraphs>
  <TotalTime>83</TotalTime>
  <ScaleCrop>false</ScaleCrop>
  <LinksUpToDate>false</LinksUpToDate>
  <CharactersWithSpaces>2411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2025-03-13T07:50:00Z</dcterms:created>
  <dc:creator>继之 王</dc:creator>
  <cp:lastModifiedBy>正宗日照绿茶  红茶</cp:lastModifiedBy>
  <cp:lastPrinted>2025-03-18T02:39:00Z</cp:lastPrinted>
  <dcterms:modified xsi:type="dcterms:W3CDTF">2025-04-01T03:03:26Z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eyJoZGlkIjoiMmQ0MjU5NGUwOTBlNGE0NzE5ODE5MjhiYWMzNGIzOWIiLCJ1c2VySWQiOiI0MjgwMzEyNzIifQ==</vt:lpwstr>
  </property>
  <property fmtid="{D5CDD505-2E9C-101B-9397-08002B2CF9AE}" pid="3" name="KSOProductBuildVer">
    <vt:lpwstr>2052-12.1.0.20305</vt:lpwstr>
  </property>
  <property fmtid="{D5CDD505-2E9C-101B-9397-08002B2CF9AE}" pid="4" name="ICV">
    <vt:lpwstr>364E455F413F493B8D8F8467F889D604_12</vt:lpwstr>
  </property>
</Properties>
</file>